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xlsx" ContentType="application/vnd.openxmlformats-officedocument.spreadsheetml.sheet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charts/chart3.xml" ContentType="application/vnd.openxmlformats-officedocument.drawingml.chart+xml"/>
  <Override PartName="/word/styles.xml" ContentType="application/vnd.openxmlformats-officedocument.wordprocessingml.styles+xml"/>
  <Override PartName="/word/charts/style1.xml" ContentType="application/vnd.ms-office.chartsty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docProps/core.xml" ContentType="application/vnd.openxmlformats-package.core-properties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143" w:firstLine="5670"/>
        <w:rPr/>
      </w:pPr>
      <w:r>
        <w:t xml:space="preserve">Приложение</w:t>
      </w:r>
      <w:r/>
    </w:p>
    <w:p>
      <w:pPr>
        <w:pBdr/>
        <w:spacing/>
        <w:ind w:right="-143" w:firstLine="5670"/>
        <w:rPr/>
      </w:pPr>
      <w:r>
        <w:t xml:space="preserve">к решению Орского </w:t>
      </w:r>
      <w:r/>
    </w:p>
    <w:p>
      <w:pPr>
        <w:pBdr/>
        <w:spacing/>
        <w:ind w:right="-143" w:firstLine="5670"/>
        <w:rPr/>
      </w:pPr>
      <w:r>
        <w:t xml:space="preserve">городского Совета депутатов</w:t>
      </w:r>
      <w:r/>
    </w:p>
    <w:p>
      <w:pPr>
        <w:pBdr/>
        <w:spacing/>
        <w:ind w:right="-143" w:firstLine="5670"/>
        <w:rPr>
          <w:u w:val="single"/>
        </w:rPr>
      </w:pPr>
      <w:r>
        <w:t xml:space="preserve">от «</w:t>
      </w:r>
      <w:r>
        <w:rPr>
          <w:u w:val="single"/>
        </w:rPr>
        <w:t xml:space="preserve"> 16 </w:t>
      </w:r>
      <w:r>
        <w:t xml:space="preserve">» </w:t>
      </w:r>
      <w:r>
        <w:rPr>
          <w:u w:val="single"/>
        </w:rPr>
        <w:t xml:space="preserve">  </w:t>
      </w:r>
      <w:r>
        <w:rPr>
          <w:u w:val="single"/>
        </w:rPr>
        <w:t xml:space="preserve">апреля  </w:t>
      </w:r>
      <w:r>
        <w:t xml:space="preserve">  2026</w:t>
      </w:r>
      <w:r>
        <w:t xml:space="preserve"> г. № </w:t>
      </w:r>
      <w:r>
        <w:rPr>
          <w:u w:val="single"/>
        </w:rPr>
        <w:t xml:space="preserve"> 8-77</w:t>
      </w:r>
      <w:r>
        <w:rPr>
          <w:u w:val="single"/>
        </w:rPr>
      </w:r>
      <w:r>
        <w:rPr>
          <w:u w:val="single"/>
        </w:rPr>
      </w:r>
    </w:p>
    <w:p>
      <w:pPr>
        <w:pBdr/>
        <w:spacing w:line="276" w:lineRule="auto"/>
        <w:ind w:firstLine="5670"/>
        <w:rPr/>
      </w:pPr>
      <w:r/>
      <w:r/>
    </w:p>
    <w:p>
      <w:pPr>
        <w:pBdr/>
        <w:spacing w:line="360" w:lineRule="auto"/>
        <w:ind/>
        <w:rPr/>
      </w:pPr>
      <w:r/>
      <w:r/>
    </w:p>
    <w:p>
      <w:pPr>
        <w:pBdr/>
        <w:spacing w:line="276" w:lineRule="auto"/>
        <w:ind/>
        <w:rPr/>
      </w:pPr>
      <w:r/>
      <w:r/>
    </w:p>
    <w:p>
      <w:pPr>
        <w:pBdr/>
        <w:spacing w:line="276" w:lineRule="auto"/>
        <w:ind/>
        <w:jc w:val="center"/>
        <w:rPr/>
      </w:pPr>
      <w:r>
        <w:rPr>
          <w:b/>
          <w:bCs/>
          <w:sz w:val="32"/>
          <w:szCs w:val="32"/>
        </w:rPr>
        <w:t xml:space="preserve">Отч</w:t>
      </w:r>
      <w:r>
        <w:rPr>
          <w:b/>
          <w:bCs/>
          <w:sz w:val="32"/>
          <w:szCs w:val="32"/>
        </w:rPr>
        <w:t xml:space="preserve">ё</w:t>
      </w:r>
      <w:bookmarkStart w:id="0" w:name="_GoBack"/>
      <w:r/>
      <w:bookmarkEnd w:id="0"/>
      <w:r>
        <w:rPr>
          <w:b/>
          <w:bCs/>
          <w:sz w:val="32"/>
          <w:szCs w:val="32"/>
        </w:rPr>
        <w:t xml:space="preserve">т </w:t>
      </w:r>
      <w:r/>
    </w:p>
    <w:p>
      <w:pPr>
        <w:pBdr/>
        <w:spacing w:line="276" w:lineRule="auto"/>
        <w:ind/>
        <w:jc w:val="center"/>
        <w:rPr/>
      </w:pPr>
      <w:r>
        <w:rPr>
          <w:b/>
          <w:bCs/>
          <w:sz w:val="32"/>
          <w:szCs w:val="32"/>
        </w:rPr>
        <w:t xml:space="preserve">о деятельности Контрольно-счётной палаты города Орска</w:t>
      </w:r>
      <w:r/>
    </w:p>
    <w:p>
      <w:pPr>
        <w:pBdr/>
        <w:spacing w:line="276" w:lineRule="auto"/>
        <w:ind/>
        <w:jc w:val="center"/>
        <w:rPr/>
      </w:pPr>
      <w:r>
        <w:rPr>
          <w:b/>
          <w:bCs/>
          <w:sz w:val="32"/>
          <w:szCs w:val="32"/>
        </w:rPr>
        <w:t xml:space="preserve">в 2025</w:t>
      </w:r>
      <w:r>
        <w:rPr>
          <w:b/>
          <w:bCs/>
          <w:sz w:val="32"/>
          <w:szCs w:val="32"/>
        </w:rPr>
        <w:t xml:space="preserve"> году</w:t>
      </w:r>
      <w:r/>
    </w:p>
    <w:p>
      <w:pPr>
        <w:pBdr/>
        <w:spacing w:line="276" w:lineRule="auto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Правовые основы образования и функционирования Контрольно-счётной палаты города Орска заложены в статье 33 Устава муниципального образо</w:t>
      </w:r>
      <w:r>
        <w:rPr>
          <w:sz w:val="28"/>
          <w:szCs w:val="28"/>
        </w:rPr>
        <w:t xml:space="preserve">вания «Город Орск», согласно которой Контрольно-счетная палата города Орска является постоянно действующим органом местного самоуправления города, образуемым Орским городским Советом депутатов для осуществления внешнего муниципального финансового контроля.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Отчет о деятельности Контрольно-счётной палаты город</w:t>
      </w:r>
      <w:r>
        <w:rPr>
          <w:sz w:val="28"/>
          <w:szCs w:val="28"/>
        </w:rPr>
        <w:t xml:space="preserve">а представлен на рассмотрение Орского городского Совета депутатов в соответствии с требованиями статьи 19 Федерального закона от 7 февраля 2011г. №6-ФЗ «Об общих принципах организации и деятельности Контрольно-счётных органов субъектов Российской Федерации</w:t>
      </w:r>
      <w:r>
        <w:rPr>
          <w:sz w:val="28"/>
          <w:szCs w:val="28"/>
        </w:rPr>
        <w:t xml:space="preserve">, федеральных территорий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муниципальных образований» (далее – Федеральный закон от 7 февраля 2011г. №6-ФЗ) и пункта 22.2 Положения «О Контрольно-счетной палате города Орска», утвержденного решением Орского городского Совета депутатов от 23 июля 2020 года № 61-949 (с изменениями).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представленном отчете отражены результаты плановых контрольных и экспертно-аналитических</w:t>
      </w:r>
      <w:r>
        <w:rPr>
          <w:sz w:val="28"/>
          <w:szCs w:val="28"/>
        </w:rPr>
        <w:t xml:space="preserve"> мероприятий, п</w:t>
      </w:r>
      <w:r>
        <w:rPr>
          <w:sz w:val="28"/>
          <w:szCs w:val="28"/>
        </w:rPr>
        <w:t xml:space="preserve">роведенных в 2025</w:t>
      </w:r>
      <w:r>
        <w:rPr>
          <w:sz w:val="28"/>
          <w:szCs w:val="28"/>
        </w:rPr>
        <w:t xml:space="preserve"> году</w:t>
      </w:r>
      <w:r>
        <w:rPr>
          <w:i/>
          <w:sz w:val="28"/>
          <w:szCs w:val="28"/>
        </w:rPr>
        <w:t xml:space="preserve">,</w:t>
      </w:r>
      <w:r>
        <w:rPr>
          <w:sz w:val="28"/>
          <w:szCs w:val="28"/>
        </w:rPr>
        <w:t xml:space="preserve"> также отражены результаты иной деятельности, направленной на развитие муниципального внешнего финансового контроля в городе Орске.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отчете также</w:t>
      </w:r>
      <w:r>
        <w:rPr>
          <w:sz w:val="28"/>
          <w:szCs w:val="28"/>
        </w:rPr>
        <w:t xml:space="preserve"> отражена информация о повышении уровня профессиональной подготовки кадров, о совершенствовании методологических основ деятельности Контрольно-счётной палаты города Орска, включающая в себя актуализацию стандартов и методических документов счетной палаты. 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Контрольно-сч</w:t>
      </w:r>
      <w:r>
        <w:rPr>
          <w:sz w:val="28"/>
          <w:szCs w:val="28"/>
        </w:rPr>
        <w:t xml:space="preserve">етной палаты города Орска в 2025</w:t>
      </w:r>
      <w:r>
        <w:rPr>
          <w:sz w:val="28"/>
          <w:szCs w:val="28"/>
        </w:rPr>
        <w:t xml:space="preserve"> году была направлена на решение важнейших задач внешнего финансового контроля.</w:t>
      </w:r>
      <w:r>
        <w:rPr>
          <w:sz w:val="28"/>
          <w:szCs w:val="28"/>
        </w:rPr>
      </w:r>
    </w:p>
    <w:p>
      <w:pPr>
        <w:widowControl w:val="tru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/>
      <w:r/>
    </w:p>
    <w:p>
      <w:pPr>
        <w:numPr>
          <w:ilvl w:val="0"/>
          <w:numId w:val="3"/>
        </w:numPr>
        <w:pBdr/>
        <w:tabs>
          <w:tab w:val="left" w:leader="none" w:pos="1418"/>
        </w:tabs>
        <w:spacing/>
        <w:ind/>
        <w:rPr/>
      </w:pPr>
      <w:r>
        <w:rPr>
          <w:b/>
          <w:bCs/>
          <w:sz w:val="28"/>
          <w:szCs w:val="28"/>
        </w:rPr>
        <w:t xml:space="preserve">Организационная деятельность</w:t>
      </w:r>
      <w:r/>
    </w:p>
    <w:p>
      <w:pPr>
        <w:pBdr/>
        <w:tabs>
          <w:tab w:val="left" w:leader="none" w:pos="1418"/>
        </w:tabs>
        <w:spacing/>
        <w:ind w:left="2773"/>
        <w:rPr/>
      </w:pPr>
      <w:r/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Контрольно-счетной палаты</w:t>
      </w:r>
      <w:r>
        <w:rPr>
          <w:sz w:val="28"/>
          <w:szCs w:val="28"/>
        </w:rPr>
        <w:t xml:space="preserve"> города Орска</w:t>
      </w:r>
      <w:r>
        <w:rPr>
          <w:sz w:val="28"/>
          <w:szCs w:val="28"/>
        </w:rPr>
        <w:t xml:space="preserve"> определены Бюджетным кодексом РФ, Федеральным законом от 07.02.2011г. № 6-ФЗ, Федеральным законом от 06.10.2003г.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Деятельность Контрольно-счётной палаты города Орска</w:t>
      </w:r>
      <w:r>
        <w:rPr>
          <w:sz w:val="28"/>
          <w:szCs w:val="28"/>
        </w:rPr>
        <w:t xml:space="preserve"> в отчетном периоде</w:t>
      </w:r>
      <w:r>
        <w:rPr>
          <w:sz w:val="28"/>
          <w:szCs w:val="28"/>
        </w:rPr>
        <w:t xml:space="preserve"> осуществляется в соответствии с решением Орского городского Совета депутатов от 23 июля 2020 года №61-949 «Об утверждении Положения «О Контрольно-счётной палате города Орска».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соответствии с ч. 3 ст. 268.1 Бюджетного кодек</w:t>
      </w:r>
      <w:r>
        <w:rPr>
          <w:sz w:val="28"/>
          <w:szCs w:val="28"/>
        </w:rPr>
        <w:t xml:space="preserve">са Российской Федерации, деятельность Контрольно-счётной палаты города Орска осуществлялась в соответствии с регламентом работы Контрольно – счётной палаты города Орска, утвержденным решением Орского городского Совета депутатов от 02 декабря 2013г. №41-689</w:t>
      </w:r>
      <w:r>
        <w:rPr>
          <w:sz w:val="28"/>
          <w:szCs w:val="28"/>
        </w:rPr>
        <w:t xml:space="preserve"> (с изменениями и дополнениями)</w:t>
      </w:r>
      <w:r>
        <w:rPr>
          <w:sz w:val="28"/>
          <w:szCs w:val="28"/>
        </w:rPr>
        <w:t xml:space="preserve">.</w:t>
      </w:r>
      <w:r/>
    </w:p>
    <w:p>
      <w:pPr>
        <w:pBdr/>
        <w:spacing w:line="276" w:lineRule="auto"/>
        <w:ind w:firstLine="709"/>
        <w:jc w:val="both"/>
        <w:rPr>
          <w:highlight w:val="yellow"/>
        </w:rPr>
      </w:pPr>
      <w:r>
        <w:rPr>
          <w:sz w:val="28"/>
          <w:szCs w:val="28"/>
        </w:rPr>
        <w:t xml:space="preserve">В соответствии со ст. 11 Федерального закона от 7 февраля 2011г. №6-ФЗ в Контрольно-счётной палате города Орска разработаны и действуют 13 стандартов муниципального внешнего финансового контроля по организации деятельности Контрольного органа в части п</w:t>
      </w:r>
      <w:r>
        <w:rPr>
          <w:sz w:val="28"/>
          <w:szCs w:val="28"/>
        </w:rPr>
        <w:t xml:space="preserve">ланирования деятельности, подготовки и проведения контрольных и экспертно-аналитических мероприятий, позволяющие организовать контрольную деятельность и деятельность работников Контрольно-счётной палаты города Орска в рамках действующего законодательства. </w:t>
      </w:r>
      <w:r>
        <w:rPr>
          <w:highlight w:val="yellow"/>
        </w:rPr>
      </w:r>
    </w:p>
    <w:p>
      <w:pPr>
        <w:pBdr/>
        <w:spacing w:line="276" w:lineRule="auto"/>
        <w:ind w:firstLine="709"/>
        <w:jc w:val="both"/>
        <w:rPr>
          <w:b/>
          <w:bCs/>
          <w:color w:val="3366ff"/>
          <w:sz w:val="28"/>
          <w:szCs w:val="28"/>
          <w:highlight w:val="yellow"/>
        </w:rPr>
      </w:pPr>
      <w:r>
        <w:rPr>
          <w:sz w:val="28"/>
          <w:szCs w:val="28"/>
        </w:rPr>
        <w:t xml:space="preserve">На основании статьи 12 Федеральн</w:t>
      </w:r>
      <w:r>
        <w:rPr>
          <w:sz w:val="28"/>
          <w:szCs w:val="28"/>
        </w:rPr>
        <w:t xml:space="preserve">ого закона от 7 февраля 2011г. </w:t>
      </w:r>
      <w:r>
        <w:rPr>
          <w:sz w:val="28"/>
          <w:szCs w:val="28"/>
        </w:rPr>
        <w:t xml:space="preserve">№ 6-ФЗ и в соответствии с требованиями пункта 11 Положения о Контрольно-счётной палате всю текущую деятельность в отчётном году Контрольно-счётная палата города Орска осуществляла в соот</w:t>
      </w:r>
      <w:r>
        <w:rPr>
          <w:sz w:val="28"/>
          <w:szCs w:val="28"/>
        </w:rPr>
        <w:t xml:space="preserve">ветствии с планом работы на 2025</w:t>
      </w:r>
      <w:r>
        <w:rPr>
          <w:sz w:val="28"/>
          <w:szCs w:val="28"/>
        </w:rPr>
        <w:t xml:space="preserve"> год, который утвержден распоряжением председателя Контрольно-счётной палаты города Орска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 декабря 2024 года №02-03/39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 от 24 февраля 2025</w:t>
      </w:r>
      <w:r>
        <w:rPr>
          <w:sz w:val="28"/>
          <w:szCs w:val="28"/>
        </w:rPr>
        <w:t xml:space="preserve"> года). План работы контрольно-счётного органа размещён на странице официального сайта Контрольно-счётной палаты города Орска.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структуре пр</w:t>
      </w:r>
      <w:r>
        <w:rPr>
          <w:sz w:val="28"/>
          <w:szCs w:val="28"/>
        </w:rPr>
        <w:t xml:space="preserve">едусмотренных планом мероприятий преобладающую долю занимают мероприятия, запланированные на основании поручений представительного органа власти. В целях реализации своих задач и функций, которые заключаются, прежде всего, в обеспечении единой системы конт</w:t>
      </w:r>
      <w:r>
        <w:rPr>
          <w:sz w:val="28"/>
          <w:szCs w:val="28"/>
        </w:rPr>
        <w:t xml:space="preserve">роля исполнения местного бюджета, соблюдения установленного порядка подготовки и рассмотрения проекта бюджета, отчёта о его исполнении, Контрольно-счётная палата осуществляет контрольную, экспертно – аналитическую и иные виды деятельности в соответствии с </w:t>
      </w:r>
      <w:r>
        <w:rPr>
          <w:sz w:val="28"/>
          <w:szCs w:val="28"/>
        </w:rPr>
        <w:t xml:space="preserve">планом работы. Контрольные и экспертно-аналитические мероприятия, включенные в план, определены исходя из установленных полномочий, с учетом их це</w:t>
      </w:r>
      <w:r>
        <w:rPr>
          <w:sz w:val="28"/>
          <w:szCs w:val="28"/>
        </w:rPr>
        <w:t xml:space="preserve">лесообразности и наличия в рассматриваемых сферах наибольших рисков возникновения нарушений и недостатков. Реализация включенных в план работы мероприятий позволила обеспечить исполнение установленных законодательством полномочий Контрольно-счётной палаты.</w:t>
      </w:r>
      <w:r>
        <w:rPr>
          <w:b/>
          <w:bCs/>
          <w:color w:val="3366ff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Bdr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Основные показатели деятельности Контрольно-счётной палаты города Орска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9"/>
        <w:jc w:val="center"/>
        <w:rPr/>
      </w:pPr>
      <w:r/>
      <w:r/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задач, возложенных </w:t>
      </w:r>
      <w:r>
        <w:rPr>
          <w:sz w:val="28"/>
          <w:szCs w:val="28"/>
        </w:rPr>
        <w:t xml:space="preserve">на Контрольно-счетную палату, Федеральным законом от 07.02.2011г. № 6-ФЗ и Положением о контрольно-счётной палате города Орска на основе утвержденного годового плана работы в отчетном году Контрольно-счетная палата осуществляла следующие виды деятельности:</w:t>
      </w:r>
      <w:r>
        <w:rPr>
          <w:sz w:val="28"/>
          <w:szCs w:val="28"/>
        </w:rPr>
      </w:r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экспертно-аналитическую (в том числе деятельность по экспертизе проектов муниципальных правовых актов муниципального образования «Город Орск»);</w:t>
      </w:r>
      <w:r>
        <w:rPr>
          <w:sz w:val="28"/>
          <w:szCs w:val="28"/>
        </w:rPr>
      </w:r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контрольную;</w:t>
      </w:r>
      <w:r>
        <w:rPr>
          <w:sz w:val="28"/>
          <w:szCs w:val="28"/>
        </w:rPr>
      </w:r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методологическому обеспечению;</w:t>
      </w:r>
      <w:r>
        <w:rPr>
          <w:sz w:val="28"/>
          <w:szCs w:val="28"/>
        </w:rPr>
      </w:r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информационную;</w:t>
      </w:r>
      <w:r>
        <w:rPr>
          <w:sz w:val="28"/>
          <w:szCs w:val="28"/>
        </w:rPr>
      </w:r>
    </w:p>
    <w:p>
      <w:pPr>
        <w:pBdr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организационную и иную деятельность.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выполнения плана работы в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году Контрольно – счётная палата города Орска провела </w:t>
      </w:r>
      <w:r>
        <w:rPr>
          <w:sz w:val="28"/>
          <w:szCs w:val="28"/>
        </w:rPr>
        <w:t xml:space="preserve">292</w:t>
      </w:r>
      <w:r>
        <w:rPr>
          <w:sz w:val="28"/>
          <w:szCs w:val="28"/>
        </w:rPr>
        <w:t xml:space="preserve"> мероприятие, в том числе 22 контрольно - ревизионных и 2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экспертно-аналитических мероприятий.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№ 1 представлено количество контрольных и экспертно-аналитических мероприятий:</w:t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lang w:eastAsia="ru-RU"/>
        </w:rPr>
      </w:pPr>
      <w:r>
        <w:rPr>
          <w:lang w:eastAsia="ru-RU"/>
        </w:rPr>
        <w:drawing>
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<wp:simplePos x="0" y="0"/>
            <wp:positionH relativeFrom="page">
              <wp:posOffset>1704975</wp:posOffset>
            </wp:positionH>
            <wp:positionV relativeFrom="paragraph">
              <wp:posOffset>384175</wp:posOffset>
            </wp:positionV>
            <wp:extent cx="5076825" cy="2600325"/>
            <wp:effectExtent l="0" t="0" r="9525" b="9525"/>
            <wp:wrapTopAndBottom/>
            <wp:docPr id="1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Диаграмма № 1 Количество контрольных и экспертно-аналитических мероприятий, проведенных Контрольно-сче</w:t>
      </w:r>
      <w:r>
        <w:rPr>
          <w:b/>
        </w:rPr>
        <w:t xml:space="preserve">тной палатой города Орска в 2025</w:t>
      </w:r>
      <w:r>
        <w:rPr>
          <w:b/>
        </w:rPr>
        <w:t xml:space="preserve"> году.</w:t>
      </w:r>
      <w:r>
        <w:rPr>
          <w:b/>
          <w:lang w:eastAsia="ru-RU"/>
        </w:rPr>
        <w:t xml:space="preserve"> </w:t>
      </w:r>
      <w:r>
        <w:rPr>
          <w:b/>
          <w:lang w:eastAsia="ru-RU"/>
        </w:rPr>
      </w:r>
    </w:p>
    <w:p>
      <w:pPr>
        <w:pBdr/>
        <w:tabs>
          <w:tab w:val="left" w:leader="none" w:pos="709"/>
        </w:tabs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Мероприятия, предусмотренные планом работы К</w:t>
      </w:r>
      <w:r>
        <w:rPr>
          <w:sz w:val="28"/>
          <w:szCs w:val="28"/>
        </w:rPr>
        <w:t xml:space="preserve">онтрольно-счётной палаты на 2025</w:t>
      </w:r>
      <w:r>
        <w:rPr>
          <w:sz w:val="28"/>
          <w:szCs w:val="28"/>
        </w:rPr>
        <w:t xml:space="preserve"> год, в отчетном году выполнены в полном объеме. 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показатели, характеризующие работу Контрольно – счётн</w:t>
      </w:r>
      <w:r>
        <w:rPr>
          <w:sz w:val="28"/>
          <w:szCs w:val="28"/>
        </w:rPr>
        <w:t xml:space="preserve">ой палаты города Орска в 2023-2025</w:t>
      </w:r>
      <w:r>
        <w:rPr>
          <w:sz w:val="28"/>
          <w:szCs w:val="28"/>
        </w:rPr>
        <w:t xml:space="preserve"> годах, приведены в таблице 1.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/>
      <w:r/>
    </w:p>
    <w:p>
      <w:pPr>
        <w:pBdr/>
        <w:spacing/>
        <w:ind w:firstLine="709"/>
        <w:jc w:val="right"/>
        <w:rPr/>
      </w:pPr>
      <w:r>
        <w:t xml:space="preserve">Таблица 1</w:t>
      </w:r>
      <w:r/>
    </w:p>
    <w:p>
      <w:pPr>
        <w:pBdr/>
        <w:spacing/>
        <w:ind/>
        <w:jc w:val="center"/>
        <w:rPr/>
      </w:pPr>
      <w:r>
        <w:rPr>
          <w:b/>
          <w:bCs/>
          <w:sz w:val="28"/>
          <w:szCs w:val="28"/>
        </w:rPr>
        <w:t xml:space="preserve">Основные показатели деятельности Контрольно-счётной па</w:t>
      </w:r>
      <w:r>
        <w:rPr>
          <w:b/>
          <w:bCs/>
          <w:sz w:val="28"/>
          <w:szCs w:val="28"/>
        </w:rPr>
        <w:t xml:space="preserve">латы города Орска за период 2023 - 2025</w:t>
      </w:r>
      <w:r>
        <w:rPr>
          <w:b/>
          <w:bCs/>
          <w:sz w:val="28"/>
          <w:szCs w:val="28"/>
        </w:rPr>
        <w:t xml:space="preserve"> годов</w:t>
      </w:r>
      <w:r/>
    </w:p>
    <w:p>
      <w:pPr>
        <w:pBdr/>
        <w:spacing/>
        <w:ind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tbl>
      <w:tblPr>
        <w:tblInd w:w="108" w:type="dxa"/>
        <w:tblW w:w="9385" w:type="dxa"/>
        <w:tblBorders/>
        <w:tblLayout w:type="fixed"/>
        <w:tblLook w:val="0000" w:firstRow="0" w:lastRow="0" w:firstColumn="0" w:lastColumn="0" w:noHBand="0" w:noVBand="0"/>
      </w:tblPr>
      <w:tblGrid>
        <w:gridCol w:w="6266"/>
        <w:gridCol w:w="992"/>
        <w:gridCol w:w="993"/>
        <w:gridCol w:w="1134"/>
      </w:tblGrid>
      <w:tr>
        <w:trPr>
          <w:trHeight w:val="3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672"/>
              <w:jc w:val="center"/>
              <w:rPr/>
            </w:pPr>
            <w:r>
              <w:rPr>
                <w:b/>
              </w:rPr>
              <w:t xml:space="preserve">Показатели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/>
            </w:pPr>
            <w:r>
              <w:rPr>
                <w:b/>
              </w:rPr>
              <w:t xml:space="preserve">2023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/>
            </w:pPr>
            <w:r>
              <w:rPr>
                <w:b/>
              </w:rPr>
              <w:t xml:space="preserve">2024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</w:p>
        </w:tc>
      </w:tr>
      <w:tr>
        <w:trPr>
          <w:trHeight w:val="513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5" w:type="dxa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/>
            </w:pPr>
            <w:r>
              <w:rPr>
                <w:b/>
                <w:spacing w:val="-1"/>
                <w:sz w:val="28"/>
                <w:szCs w:val="28"/>
              </w:rPr>
              <w:t xml:space="preserve">Экспертно-аналитическая деятельность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Проведено экспертно-аналитических мероприятий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316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Подготовлено аналитических и информационных писем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Подготовлено заключений на проекты постановлений администрации города Орска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234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Подготовлено заключений на проекты решений Орского городского Совета депутатов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Составлен акт по результатам проведения параллельного экспертно-аналитического мероприятия проведенного на основании Решения от 21.01.2025г.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Подготовлено заключений на квартальную бюджетную отчетность ГРБС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заключений с замечаниями и предложениями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устраненных замечаний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1" w:type="dxa"/>
            <w:vAlign w:val="center"/>
            <w:textDirection w:val="lrTb"/>
            <w:noWrap w:val="false"/>
          </w:tcPr>
          <w:p>
            <w:pPr>
              <w:pBdr/>
              <w:spacing/>
              <w:ind w:firstLine="672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Контрольно - ревизионная деятельность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Контрольно-ревизионных мероприятий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92"/>
              </w:tabs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Количество объектов, охваченных при проведении контрольных мероприятий (ед.),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органов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муниципальных учреждений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муниципальных предприятий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прочие организации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Выявлено нарушений и недостатков всего (тыс. руб.),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21 708,3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23 187,6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271 038,1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нецелевое использование бюджетных средств </w:t>
            </w:r>
            <w:r>
              <w:rPr>
                <w:sz w:val="22"/>
                <w:szCs w:val="22"/>
              </w:rPr>
              <w:t xml:space="preserve">(тыс. 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114,8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-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5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неэффективное использование бюджетных средств </w:t>
            </w:r>
            <w:r>
              <w:rPr>
                <w:sz w:val="22"/>
                <w:szCs w:val="22"/>
              </w:rPr>
              <w:t xml:space="preserve">(тыс. 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1 632,6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54,5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2 029,4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нарушение установленного порядка управления и распоряжения имуществом (тыс. 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14 570,1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6 661,3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99 966,4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нарушения бухгалтерского учета, бюджетной отчетности, иные нарушения </w:t>
            </w:r>
            <w:r>
              <w:rPr>
                <w:sz w:val="22"/>
                <w:szCs w:val="22"/>
              </w:rPr>
              <w:t xml:space="preserve">(тыс. 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5 505,6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16 357,0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75 984,8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5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иные нарушения (тыс. руб.)</w:t>
            </w:r>
            <w:r>
              <w:rPr>
                <w:spacing w:val="-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93 057,5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7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5" w:type="dxa"/>
            <w:vAlign w:val="center"/>
            <w:textDirection w:val="lrTb"/>
            <w:noWrap w:val="false"/>
          </w:tcPr>
          <w:p>
            <w:pPr>
              <w:pBdr/>
              <w:spacing/>
              <w:ind w:right="-82" w:left="-98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 xml:space="preserve">Реализация результатов контрольных и экспертно-аналитических </w:t>
            </w:r>
            <w:r/>
          </w:p>
          <w:p>
            <w:pPr>
              <w:pBdr/>
              <w:spacing/>
              <w:ind w:right="-82" w:left="-98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 xml:space="preserve">мероприятий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Устранено финансовых нарушений и возмещено средств в бюджет (с учетом устранения нарушений прошлых лет*) </w:t>
            </w:r>
            <w:r>
              <w:rPr>
                <w:sz w:val="22"/>
                <w:szCs w:val="22"/>
              </w:rPr>
              <w:t xml:space="preserve">(тыс. руб.),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19 278,9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9 394,6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(93,0)*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219 023,7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материалов, направленных в </w:t>
            </w:r>
            <w:r>
              <w:rPr>
                <w:color w:val="000000"/>
                <w:sz w:val="22"/>
                <w:szCs w:val="22"/>
              </w:rPr>
              <w:t xml:space="preserve">правоохранительные и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надзорные органы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направленных представлений и предписаний (ед.)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Bdr/>
        <w:spacing w:line="276" w:lineRule="auto"/>
        <w:ind/>
        <w:jc w:val="center"/>
        <w:rPr/>
      </w:pPr>
      <w:r>
        <w:rPr>
          <w:b/>
          <w:sz w:val="28"/>
          <w:szCs w:val="28"/>
        </w:rPr>
        <w:t xml:space="preserve">2.1. Экспертно-аналитическая деятельность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Экспертно – аналитическая деятельность осуществляется Контрольно-счётной палатой города Орска посредством проведения </w:t>
      </w:r>
      <w:r>
        <w:rPr>
          <w:spacing w:val="-1"/>
          <w:sz w:val="28"/>
          <w:szCs w:val="28"/>
        </w:rPr>
        <w:t xml:space="preserve">экспертно - аналитических мероприятий по всем направлениям, в соответствии с годовым планом работы. </w:t>
      </w:r>
      <w:r>
        <w:rPr>
          <w:bCs/>
          <w:spacing w:val="-1"/>
          <w:sz w:val="28"/>
          <w:szCs w:val="28"/>
        </w:rPr>
        <w:t xml:space="preserve">Экспертно-аналитическая деятельность контрольно-счетной палаты была представлена комплексом мероприятий в отношении бюджетных средств и муниципальной собственности.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отчетном периоде Контрольно-счётная палата города Орска осуществляла экспертно-аналитическую деятельность, которая была направлена на предотвращение потенциальных нарушений и недостатков на ста</w:t>
      </w:r>
      <w:r>
        <w:rPr>
          <w:sz w:val="28"/>
          <w:szCs w:val="28"/>
        </w:rPr>
        <w:t xml:space="preserve">дии экспертизы проектов муниципальных нормативно - правовых актов, их корректировки с точки зрения законности, целесообразности и эффективности использования средств бюджета муниципального образования «Город Орск», муниципальной собственности и имущества.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рамках экспертно - аналитической деятельности Контрольно – счётная палата города Орска ставит перед собой задачи анализа актуальных вопросов по осуществлению контроля за полнотой и сво</w:t>
      </w:r>
      <w:r>
        <w:rPr>
          <w:sz w:val="28"/>
          <w:szCs w:val="28"/>
        </w:rPr>
        <w:t xml:space="preserve">евременностью исполнения бюджета муниципального образования «Город Орск», своевременностью проведения финансово-экономических экспертиз проектов нормативно-правовых актов органов местного самоуправления в пределах полномочий внешнего финансового контроля.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По итогам проведенных мероприятий, Контрольно-счётная палата города Орска направляла информационные письма заинтересованным сторонам.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В рамках осуществления финансового контроля исполнения бюджета муниципального образования «Город Орск» ежеквартально проводился анализ исполнения бюджета муниципального образования «Город Орск». 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Аналитическая работа проводилась по исполнению, как доходных показателей бюджета, так и показателей расходов бюджета по направлениям (разделам). 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Результаты аналитической работы доведены до Орского городского Совета депутатов.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рамках </w:t>
      </w:r>
      <w:r>
        <w:rPr>
          <w:spacing w:val="-1"/>
          <w:sz w:val="28"/>
          <w:szCs w:val="28"/>
        </w:rPr>
        <w:t xml:space="preserve">экспертно - аналитической деятельности в отчетном году Контрольно-счетной палатой города Орска</w:t>
      </w:r>
      <w:r>
        <w:rPr>
          <w:spacing w:val="-1"/>
          <w:sz w:val="28"/>
          <w:szCs w:val="28"/>
        </w:rPr>
        <w:t xml:space="preserve"> проведено 2</w:t>
      </w:r>
      <w:r>
        <w:rPr>
          <w:spacing w:val="-1"/>
          <w:sz w:val="28"/>
          <w:szCs w:val="28"/>
        </w:rPr>
        <w:t xml:space="preserve">70</w:t>
      </w:r>
      <w:r>
        <w:rPr>
          <w:spacing w:val="-1"/>
          <w:sz w:val="28"/>
          <w:szCs w:val="28"/>
        </w:rPr>
        <w:t xml:space="preserve"> экспертно - аналитических мероприятий, из них:</w:t>
      </w:r>
      <w:r/>
    </w:p>
    <w:p>
      <w:pPr>
        <w:pBdr/>
        <w:tabs>
          <w:tab w:val="left" w:leader="none" w:pos="709"/>
          <w:tab w:val="left" w:leader="none" w:pos="993"/>
        </w:tabs>
        <w:spacing w:line="276" w:lineRule="auto"/>
        <w:ind w:firstLine="709"/>
        <w:jc w:val="both"/>
        <w:rPr/>
      </w:pPr>
      <w:r>
        <w:rPr>
          <w:spacing w:val="-1"/>
          <w:sz w:val="28"/>
          <w:szCs w:val="28"/>
        </w:rPr>
        <w:t xml:space="preserve">-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186</w:t>
      </w:r>
      <w:r>
        <w:rPr>
          <w:spacing w:val="-1"/>
          <w:sz w:val="28"/>
          <w:szCs w:val="28"/>
        </w:rPr>
        <w:t xml:space="preserve"> экспертиз проектов постановлений администрации города Орска;</w:t>
      </w:r>
      <w:r/>
    </w:p>
    <w:p>
      <w:pPr>
        <w:pBdr/>
        <w:tabs>
          <w:tab w:val="left" w:leader="none" w:pos="709"/>
          <w:tab w:val="left" w:leader="none" w:pos="993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35</w:t>
      </w:r>
      <w:r>
        <w:rPr>
          <w:spacing w:val="-1"/>
          <w:sz w:val="28"/>
          <w:szCs w:val="28"/>
        </w:rPr>
        <w:t xml:space="preserve"> заключений на проекты решений Орского городского Совета депутатов;</w:t>
      </w:r>
      <w:r>
        <w:rPr>
          <w:spacing w:val="-1"/>
          <w:sz w:val="28"/>
          <w:szCs w:val="28"/>
        </w:rPr>
      </w:r>
    </w:p>
    <w:p>
      <w:pPr>
        <w:pBdr/>
        <w:tabs>
          <w:tab w:val="left" w:leader="none" w:pos="709"/>
          <w:tab w:val="left" w:leader="none" w:pos="993"/>
        </w:tabs>
        <w:spacing w:line="276" w:lineRule="auto"/>
        <w:ind w:firstLine="709"/>
        <w:jc w:val="both"/>
        <w:rPr/>
      </w:pPr>
      <w:r>
        <w:rPr>
          <w:spacing w:val="-1"/>
          <w:sz w:val="28"/>
          <w:szCs w:val="28"/>
        </w:rPr>
        <w:t xml:space="preserve">-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1 </w:t>
      </w:r>
      <w:r>
        <w:rPr>
          <w:bCs/>
          <w:spacing w:val="-1"/>
          <w:sz w:val="28"/>
          <w:szCs w:val="28"/>
        </w:rPr>
        <w:t xml:space="preserve">акт по результатам проведения параллельного экспертно-аналитического мероприятия проведенного на основании Решения от 21.01.2025г.</w:t>
      </w:r>
      <w:r>
        <w:rPr>
          <w:bCs/>
          <w:spacing w:val="-1"/>
          <w:sz w:val="28"/>
          <w:szCs w:val="28"/>
        </w:rPr>
        <w:t xml:space="preserve">;</w:t>
      </w:r>
      <w:r/>
    </w:p>
    <w:p>
      <w:pPr>
        <w:pBdr/>
        <w:tabs>
          <w:tab w:val="left" w:leader="none" w:pos="709"/>
          <w:tab w:val="left" w:leader="none" w:pos="993"/>
        </w:tabs>
        <w:spacing w:line="276" w:lineRule="auto"/>
        <w:ind w:firstLine="709"/>
        <w:jc w:val="both"/>
        <w:rPr/>
      </w:pPr>
      <w:r>
        <w:rPr>
          <w:spacing w:val="-1"/>
          <w:sz w:val="28"/>
          <w:szCs w:val="28"/>
        </w:rPr>
        <w:t xml:space="preserve">-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48 заключений на квартальную/годовую бюджетную отчетность главных распорядителей бюджетных средств. </w:t>
      </w:r>
      <w:r/>
    </w:p>
    <w:p>
      <w:pPr>
        <w:pBdr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 xml:space="preserve">Помимо вышеуказанных мероприятий,</w:t>
      </w:r>
      <w:r>
        <w:rPr>
          <w:spacing w:val="-1"/>
          <w:sz w:val="28"/>
          <w:szCs w:val="28"/>
        </w:rPr>
        <w:t xml:space="preserve"> контрольно-счетной палатой города Орска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проводилось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араллельное экспертно - аналитическое мероприятие с контрольно-счетными органами Оренбургской области</w:t>
      </w:r>
      <w:r>
        <w:rPr>
          <w:rFonts w:eastAsia="Calibri"/>
          <w:sz w:val="28"/>
          <w:szCs w:val="28"/>
          <w:lang w:eastAsia="en-US"/>
        </w:rPr>
        <w:t xml:space="preserve"> по теме</w:t>
      </w:r>
      <w:r>
        <w:rPr>
          <w:rFonts w:eastAsia="Calibri"/>
          <w:sz w:val="28"/>
          <w:szCs w:val="28"/>
          <w:lang w:eastAsia="en-US"/>
        </w:rPr>
        <w:t xml:space="preserve"> «Анализ </w:t>
      </w:r>
      <w:r>
        <w:rPr>
          <w:rFonts w:eastAsia="Calibri"/>
          <w:sz w:val="28"/>
          <w:szCs w:val="28"/>
          <w:lang w:eastAsia="en-US"/>
        </w:rPr>
        <w:t xml:space="preserve">достаточности и обоснованности объема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на 2025 год и плановый период 2026 и 2027 годы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в ходе данного мероприятия проведен</w:t>
      </w:r>
      <w:r>
        <w:rPr>
          <w:rFonts w:eastAsia="Calibri"/>
          <w:sz w:val="28"/>
          <w:szCs w:val="28"/>
          <w:lang w:eastAsia="en-US"/>
        </w:rPr>
        <w:t xml:space="preserve"> анализ нормативных правовых документов, регламентирующих вопросы, подлежащих анализу в соответствии с утвержденной программой экспертно-аналитического мероприятия, проведен мониторинг информации, размещенной в сети Интернет, в том числе в государственных </w:t>
      </w:r>
      <w:r>
        <w:rPr>
          <w:rFonts w:eastAsia="Calibri"/>
          <w:sz w:val="28"/>
          <w:szCs w:val="28"/>
          <w:lang w:eastAsia="en-US"/>
        </w:rPr>
        <w:t xml:space="preserve">информационных системах, на официальных сайтах органов исполнительной власти.</w:t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 результата</w:t>
      </w:r>
      <w:r>
        <w:rPr>
          <w:rFonts w:eastAsia="Calibri"/>
          <w:sz w:val="28"/>
          <w:szCs w:val="28"/>
          <w:lang w:eastAsia="en-US"/>
        </w:rPr>
        <w:t xml:space="preserve">м проведенной работы установлены нарушения:</w:t>
      </w:r>
      <w:r>
        <w:rPr>
          <w:rFonts w:eastAsia="Calibri"/>
          <w:sz w:val="28"/>
          <w:szCs w:val="28"/>
          <w:lang w:eastAsia="en-US"/>
        </w:rPr>
        <w:t xml:space="preserve"> положения о порядке формирования и финансового обеспечения выполнения муниципальных заданий на оказание муниципальны</w:t>
      </w:r>
      <w:r>
        <w:rPr>
          <w:rFonts w:eastAsia="Calibri"/>
          <w:sz w:val="28"/>
          <w:szCs w:val="28"/>
          <w:lang w:eastAsia="en-US"/>
        </w:rPr>
        <w:t xml:space="preserve">х услуг (выполнения работ) в отношении муниципальных учреждений, нормативные затраты, базовые нормативы затрат, отраслевые и территориальные корректирующие коэффициенты сформированы не в соответствии с требованиями федерального и местного законодательства </w:t>
      </w:r>
      <w:r>
        <w:rPr>
          <w:rFonts w:eastAsia="Calibri"/>
          <w:sz w:val="28"/>
          <w:szCs w:val="28"/>
          <w:lang w:eastAsia="en-US"/>
        </w:rPr>
        <w:t xml:space="preserve">для учреждений, </w:t>
      </w:r>
      <w:r>
        <w:rPr>
          <w:rFonts w:eastAsia="Calibri"/>
          <w:sz w:val="28"/>
          <w:szCs w:val="28"/>
          <w:lang w:eastAsia="en-US"/>
        </w:rPr>
        <w:t xml:space="preserve">реализующих образовательные программы в области образования, не соблюдались условия соглашений о предоставлении субвенций бюджетам городских округов и муниципальных районов на обеспечение государственных гарантий реализации прав на получение общедоступного</w:t>
      </w:r>
      <w:r>
        <w:rPr>
          <w:rFonts w:eastAsia="Calibri"/>
          <w:sz w:val="28"/>
          <w:szCs w:val="28"/>
          <w:lang w:eastAsia="en-US"/>
        </w:rPr>
        <w:t xml:space="preserve"> и бесплатного дошкольного образования, нач</w:t>
      </w:r>
      <w:r>
        <w:rPr>
          <w:rFonts w:eastAsia="Calibri"/>
          <w:sz w:val="28"/>
          <w:szCs w:val="28"/>
          <w:lang w:eastAsia="en-US"/>
        </w:rPr>
        <w:t xml:space="preserve">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организациях, в части достижения значений целевых показателей, имеются случаи отражения в отчете о достижении значений </w:t>
      </w:r>
      <w:r>
        <w:rPr>
          <w:rFonts w:eastAsia="Calibri"/>
          <w:sz w:val="28"/>
          <w:szCs w:val="28"/>
          <w:lang w:eastAsia="en-US"/>
        </w:rPr>
        <w:t xml:space="preserve">целевых показателей недостоверной информации, соглашения о порядке и условиях предоставлении субсидий на финансовое обеспечение выполнения муниципального задания </w:t>
      </w:r>
      <w:r>
        <w:rPr>
          <w:rFonts w:eastAsia="Calibri"/>
          <w:sz w:val="28"/>
          <w:szCs w:val="28"/>
          <w:lang w:eastAsia="en-US"/>
        </w:rPr>
        <w:t xml:space="preserve">на оказание муниципальных услуг (выполнения работ)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заключены с учреждениями не в соответствии с утвержденной типовой формой,</w:t>
      </w:r>
      <w:r>
        <w:rPr>
          <w:rFonts w:eastAsia="Calibri"/>
          <w:sz w:val="28"/>
          <w:szCs w:val="28"/>
          <w:lang w:eastAsia="en-US"/>
        </w:rPr>
        <w:t xml:space="preserve"> несвоевременного размещения </w:t>
      </w:r>
      <w:r>
        <w:rPr>
          <w:rFonts w:eastAsia="Calibri"/>
          <w:sz w:val="28"/>
          <w:szCs w:val="28"/>
          <w:lang w:eastAsia="en-US"/>
        </w:rPr>
        <w:t xml:space="preserve">муниципального задания и отчетов о выполнении муниципального задания на официальном сайте </w:t>
      </w:r>
      <w:r>
        <w:rPr>
          <w:rFonts w:eastAsia="Times New Roman"/>
          <w:sz w:val="28"/>
          <w:szCs w:val="28"/>
          <w:shd w:val="clear" w:color="auto" w:fill="ffffff"/>
        </w:rPr>
        <w:t xml:space="preserve">в сети «Интернет» </w:t>
      </w: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hyperlink r:id="rId12" w:tooltip="http://www.bus.gov.ru" w:history="1">
        <w:r>
          <w:rPr>
            <w:rStyle w:val="674"/>
            <w:rFonts w:eastAsia="Times New Roman"/>
            <w:sz w:val="28"/>
            <w:szCs w:val="28"/>
            <w:shd w:val="clear" w:color="auto" w:fill="ffffff"/>
          </w:rPr>
          <w:t xml:space="preserve">www.bus.gov.ru</w:t>
        </w:r>
      </w:hyperlink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По результатам экспертно-аналитического мероприятия</w:t>
      </w:r>
      <w:r>
        <w:rPr>
          <w:rFonts w:eastAsia="Times New Roman"/>
          <w:sz w:val="28"/>
          <w:szCs w:val="28"/>
          <w:shd w:val="clear" w:color="auto" w:fill="ffffff"/>
        </w:rPr>
        <w:t xml:space="preserve"> в адрес у</w:t>
      </w:r>
      <w:r>
        <w:rPr>
          <w:rFonts w:eastAsia="Times New Roman"/>
          <w:sz w:val="28"/>
          <w:szCs w:val="28"/>
          <w:shd w:val="clear" w:color="auto" w:fill="ffffff"/>
        </w:rPr>
        <w:t xml:space="preserve">правления образования администрации города Орска для принятия мер по выполнению предложений контрольно-счетной палаты города Орска направлено</w:t>
      </w: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</w:rPr>
        <w:t xml:space="preserve">информационное письмо.</w:t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Также </w:t>
      </w:r>
      <w:r>
        <w:rPr>
          <w:spacing w:val="-1"/>
          <w:sz w:val="28"/>
          <w:szCs w:val="28"/>
        </w:rPr>
        <w:t xml:space="preserve">п</w:t>
      </w:r>
      <w:r>
        <w:rPr>
          <w:spacing w:val="-1"/>
          <w:sz w:val="28"/>
          <w:szCs w:val="28"/>
        </w:rPr>
        <w:t xml:space="preserve">о поручению Орского</w:t>
      </w:r>
      <w:r>
        <w:rPr>
          <w:spacing w:val="-1"/>
          <w:sz w:val="28"/>
          <w:szCs w:val="28"/>
        </w:rPr>
        <w:t xml:space="preserve"> городского Совета депутатов ежемесячно проводился анализ исполнения расходов по разделу 05 03 «Благоустройство» районов города Орска. По результатам данных мероприятий представлялись аналитические записки председателю Орского городского Совета депутатов. 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</w:t>
      </w:r>
      <w:r>
        <w:rPr>
          <w:sz w:val="28"/>
          <w:szCs w:val="28"/>
        </w:rPr>
        <w:t xml:space="preserve">а диаграмме № 2 представлена структура прошедших экспертизу муниципальных нормативно-правовых актов по направлениям:</w:t>
      </w:r>
      <w:r>
        <w:rPr>
          <w:sz w:val="28"/>
          <w:szCs w:val="28"/>
        </w:rPr>
      </w:r>
    </w:p>
    <w:p>
      <w:pPr>
        <w:pBdr/>
        <w:spacing w:line="276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889"/>
        <w:jc w:val="both"/>
        <w:rPr/>
      </w:pPr>
      <w:r>
        <w:rPr>
          <w:lang w:eastAsia="ru-RU"/>
        </w:rPr>
        <w:drawing>
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514985</wp:posOffset>
            </wp:positionV>
            <wp:extent cx="4714875" cy="2426970"/>
            <wp:effectExtent l="0" t="0" r="0" b="0"/>
            <wp:wrapTight wrapText="bothSides">
              <wp:wrapPolygon edited="1">
                <wp:start x="0" y="0"/>
                <wp:lineTo x="0" y="21363"/>
                <wp:lineTo x="21469" y="21363"/>
                <wp:lineTo x="21469" y="0"/>
                <wp:lineTo x="0" y="0"/>
              </wp:wrapPolygon>
            </wp:wrapTight>
            <wp:docPr id="2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Диаграмма № 2 Структура нормативно-правовых актов, прошедших экспертизу в Контрольно-сч</w:t>
      </w:r>
      <w:r>
        <w:rPr>
          <w:b/>
        </w:rPr>
        <w:t xml:space="preserve">етной палате города Орска в 2025</w:t>
      </w:r>
      <w:r>
        <w:rPr>
          <w:b/>
        </w:rPr>
        <w:t xml:space="preserve"> году, по направлениям.</w:t>
      </w:r>
      <w:r/>
    </w:p>
    <w:p>
      <w:pPr>
        <w:pBdr/>
        <w:spacing/>
        <w:ind w:firstLine="709"/>
        <w:jc w:val="both"/>
        <w:rPr/>
      </w:pPr>
      <w:r>
        <w:rPr>
          <w:bCs/>
          <w:sz w:val="28"/>
          <w:szCs w:val="28"/>
        </w:rPr>
        <w:t xml:space="preserve">Проекты нормативно-правовых актов</w:t>
      </w:r>
      <w:r>
        <w:t xml:space="preserve">, </w:t>
      </w:r>
      <w:r>
        <w:rPr>
          <w:bCs/>
          <w:sz w:val="28"/>
          <w:szCs w:val="28"/>
        </w:rPr>
        <w:t xml:space="preserve">регулирующие утверждение и внесение изменени</w:t>
      </w:r>
      <w:r>
        <w:rPr>
          <w:bCs/>
          <w:sz w:val="28"/>
          <w:szCs w:val="28"/>
        </w:rPr>
        <w:t xml:space="preserve">й в муниципальные программы – 20,8</w:t>
      </w:r>
      <w:r>
        <w:rPr>
          <w:bCs/>
          <w:sz w:val="28"/>
          <w:szCs w:val="28"/>
        </w:rPr>
        <w:t xml:space="preserve">%.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Проекты,</w:t>
      </w:r>
      <w:r>
        <w:t xml:space="preserve"> </w:t>
      </w:r>
      <w:r>
        <w:rPr>
          <w:bCs/>
          <w:sz w:val="28"/>
          <w:szCs w:val="28"/>
        </w:rPr>
        <w:t xml:space="preserve">регулирующие порядок управления и распоряжения имуществом, находящимся в собственности муниципального обр</w:t>
      </w:r>
      <w:r>
        <w:rPr>
          <w:bCs/>
          <w:sz w:val="28"/>
          <w:szCs w:val="28"/>
        </w:rPr>
        <w:t xml:space="preserve">азования – 11,3</w:t>
      </w:r>
      <w:r>
        <w:rPr>
          <w:bCs/>
          <w:sz w:val="28"/>
          <w:szCs w:val="28"/>
        </w:rPr>
        <w:t xml:space="preserve">%.</w:t>
      </w:r>
      <w:r/>
    </w:p>
    <w:p>
      <w:pPr>
        <w:pBdr/>
        <w:spacing w:line="276" w:lineRule="auto"/>
        <w:ind w:firstLine="708"/>
        <w:jc w:val="both"/>
        <w:rPr/>
      </w:pPr>
      <w:r>
        <w:rPr>
          <w:bCs/>
          <w:sz w:val="28"/>
          <w:szCs w:val="28"/>
        </w:rPr>
        <w:t xml:space="preserve">Проекты нормативно-правовых актов, регулирующие социальную политику города Орска, в том числе: финансовое обеспечение отдыха детей в каникулярное время; предоставление жилых помещений собственникам </w:t>
      </w:r>
      <w:r>
        <w:rPr>
          <w:bCs/>
          <w:sz w:val="28"/>
          <w:szCs w:val="28"/>
        </w:rPr>
        <w:t xml:space="preserve">помещений, переселяемым из аварийного жилищного фонда; оплату труда муниципальных служащих и работников муниципальных учреждений; индексация пенсии за выслугу лет лицам, замещающим муниципальные должности и должности муниципал</w:t>
      </w:r>
      <w:r>
        <w:rPr>
          <w:bCs/>
          <w:sz w:val="28"/>
          <w:szCs w:val="28"/>
        </w:rPr>
        <w:t xml:space="preserve">ьной службы города Орска, в 2025 году составили 12,7</w:t>
      </w:r>
      <w:r>
        <w:rPr>
          <w:bCs/>
          <w:sz w:val="28"/>
          <w:szCs w:val="28"/>
        </w:rPr>
        <w:t xml:space="preserve">%.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Проекты нормативно-правовых актов, регулирующие совершенствование бюджетн</w:t>
      </w:r>
      <w:r>
        <w:rPr>
          <w:bCs/>
          <w:sz w:val="28"/>
          <w:szCs w:val="28"/>
        </w:rPr>
        <w:t xml:space="preserve">ого процесса в городе Орске – 10</w:t>
      </w:r>
      <w:r>
        <w:rPr>
          <w:bCs/>
          <w:sz w:val="28"/>
          <w:szCs w:val="28"/>
        </w:rPr>
        <w:t xml:space="preserve">,4%,</w:t>
      </w:r>
      <w:r>
        <w:rPr>
          <w:bCs/>
          <w:sz w:val="28"/>
          <w:szCs w:val="28"/>
        </w:rPr>
        <w:t xml:space="preserve"> регулирующие местные налоги – 2,3</w:t>
      </w:r>
      <w:r>
        <w:rPr>
          <w:bCs/>
          <w:sz w:val="28"/>
          <w:szCs w:val="28"/>
        </w:rPr>
        <w:t xml:space="preserve">%.</w:t>
      </w:r>
      <w:r>
        <w:rPr>
          <w:bCs/>
          <w:color w:val="3366ff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Экспертизы проектов решений о бюджете (отчет, проект, из</w:t>
      </w:r>
      <w:r>
        <w:rPr>
          <w:bCs/>
          <w:sz w:val="28"/>
          <w:szCs w:val="28"/>
        </w:rPr>
        <w:t xml:space="preserve">менения, поправки) составили – 10,4</w:t>
      </w:r>
      <w:r>
        <w:rPr>
          <w:bCs/>
          <w:sz w:val="28"/>
          <w:szCs w:val="28"/>
        </w:rPr>
        <w:t xml:space="preserve">%. К категории прочих нормативно-прав</w:t>
      </w:r>
      <w:r>
        <w:rPr>
          <w:bCs/>
          <w:sz w:val="28"/>
          <w:szCs w:val="28"/>
        </w:rPr>
        <w:t xml:space="preserve">овых актов отнесены нормативно-правовые акты, касающиеся расходования средств из резервного фонда, утверждения расходных обязательств МО «Город Орск», утверждения нормативных затрат на капитальный ремонт, и т.п. Доля прочих мероприятий по экспертизе нормат</w:t>
      </w:r>
      <w:r>
        <w:rPr>
          <w:bCs/>
          <w:sz w:val="28"/>
          <w:szCs w:val="28"/>
        </w:rPr>
        <w:t xml:space="preserve">ивно-правовых актов, составила 32,1</w:t>
      </w:r>
      <w:r>
        <w:rPr>
          <w:bCs/>
          <w:sz w:val="28"/>
          <w:szCs w:val="28"/>
        </w:rPr>
        <w:t xml:space="preserve">% от общего количества проведенных экспертных мероприятий. 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iCs/>
          <w:sz w:val="28"/>
          <w:szCs w:val="28"/>
        </w:rPr>
        <w:t xml:space="preserve">Заключения, составленные по результ</w:t>
      </w:r>
      <w:r>
        <w:rPr>
          <w:bCs/>
          <w:iCs/>
          <w:sz w:val="28"/>
          <w:szCs w:val="28"/>
        </w:rPr>
        <w:t xml:space="preserve">атам экспертно-аналитических мероприятий, направлялись в Орский городской Совет депутатов и главным администраторам доходов бюджета города Орска, главным распорядителям бюджетных средств, главному администратору источников финансирования дефицита бюджета. </w:t>
      </w:r>
      <w:r/>
    </w:p>
    <w:p>
      <w:pPr>
        <w:pBdr/>
        <w:spacing/>
        <w:ind w:firstLine="709"/>
        <w:jc w:val="center"/>
        <w:rPr>
          <w:b/>
          <w:bCs/>
          <w:color w:val="3366ff"/>
          <w:sz w:val="28"/>
          <w:szCs w:val="28"/>
          <w:highlight w:val="yellow"/>
        </w:rPr>
      </w:pPr>
      <w:r>
        <w:rPr>
          <w:b/>
          <w:bCs/>
          <w:color w:val="3366ff"/>
          <w:sz w:val="28"/>
          <w:szCs w:val="28"/>
          <w:highlight w:val="yellow"/>
        </w:rPr>
      </w:r>
      <w:r>
        <w:rPr>
          <w:b/>
          <w:bCs/>
          <w:color w:val="3366ff"/>
          <w:sz w:val="28"/>
          <w:szCs w:val="28"/>
          <w:highlight w:val="yellow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2.1.1. Экспертизы муниципальных программ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9"/>
        <w:jc w:val="center"/>
        <w:rPr/>
      </w:pPr>
      <w:r/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В соответствии с ч. 2 ст. 157 Бюджетного кодекса Российской Федерации, Контрольно-счётные органы осуществляют бюджетные полномочия по экспертизе муниципальных программ.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Бюджет города Орска на 2025 год и плановый период 2026 и 2027</w:t>
      </w:r>
      <w:r>
        <w:rPr>
          <w:bCs/>
          <w:sz w:val="28"/>
          <w:szCs w:val="28"/>
        </w:rPr>
        <w:t xml:space="preserve"> годов является программным. </w:t>
      </w:r>
      <w:r/>
    </w:p>
    <w:p>
      <w:pPr>
        <w:pBdr/>
        <w:spacing/>
        <w:ind w:firstLine="709"/>
        <w:jc w:val="both"/>
        <w:rPr/>
      </w:pPr>
      <w:r>
        <w:rPr>
          <w:bCs/>
          <w:sz w:val="28"/>
          <w:szCs w:val="28"/>
        </w:rPr>
        <w:t xml:space="preserve">В городе </w:t>
      </w:r>
      <w:r>
        <w:rPr>
          <w:sz w:val="28"/>
          <w:szCs w:val="28"/>
        </w:rPr>
        <w:t xml:space="preserve">утверждено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бщий объем финансирования</w:t>
      </w:r>
      <w:r>
        <w:rPr>
          <w:sz w:val="28"/>
          <w:szCs w:val="28"/>
        </w:rPr>
        <w:t xml:space="preserve">, за счет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</w:t>
      </w:r>
      <w:r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98,3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 бюджета города. </w:t>
      </w:r>
      <w:r>
        <w:rPr>
          <w:sz w:val="28"/>
          <w:szCs w:val="28"/>
        </w:rPr>
        <w:t xml:space="preserve">Поэтому</w:t>
      </w:r>
      <w:r>
        <w:rPr>
          <w:bCs/>
          <w:sz w:val="28"/>
          <w:szCs w:val="28"/>
        </w:rPr>
        <w:t xml:space="preserve">, значительную часть, поступивших в Контрольно-счетную палату города Орска для экспертизы проектов нормативных правовых актов составили проекты муниципальных программ, а также из</w:t>
      </w:r>
      <w:r>
        <w:rPr>
          <w:bCs/>
          <w:sz w:val="28"/>
          <w:szCs w:val="28"/>
        </w:rPr>
        <w:t xml:space="preserve">менения к ним (20,8</w:t>
      </w:r>
      <w:r>
        <w:rPr>
          <w:bCs/>
          <w:sz w:val="28"/>
          <w:szCs w:val="28"/>
        </w:rPr>
        <w:t xml:space="preserve">%). 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В ходе проведения экспертно-аналитического мероприятия «Финансово-экономическая эксп</w:t>
      </w:r>
      <w:r>
        <w:rPr>
          <w:bCs/>
          <w:sz w:val="28"/>
          <w:szCs w:val="28"/>
        </w:rPr>
        <w:t xml:space="preserve">ертиза муниципальных программ МО «Город Орск» Контрольно-счетной палатой города Орска проведен анализ в разрезе каждой программы, реализуемой в МО «Город Орск», с рассмотрением комплекса вопросов, включающего в себя оценку исполнения показателей программы.</w:t>
      </w:r>
      <w:r/>
    </w:p>
    <w:p>
      <w:pPr>
        <w:pBdr/>
        <w:spacing w:line="276" w:lineRule="auto"/>
        <w:ind w:firstLine="709"/>
        <w:jc w:val="both"/>
        <w:rPr/>
      </w:pPr>
      <w:r>
        <w:rPr>
          <w:bCs/>
          <w:sz w:val="28"/>
          <w:szCs w:val="28"/>
        </w:rPr>
        <w:t xml:space="preserve">Муниципальные программы являются</w:t>
      </w:r>
      <w:r>
        <w:rPr>
          <w:bCs/>
          <w:sz w:val="28"/>
          <w:szCs w:val="28"/>
        </w:rPr>
        <w:t xml:space="preserve"> основным механизмом </w:t>
      </w:r>
      <w:r>
        <w:rPr>
          <w:bCs/>
          <w:sz w:val="28"/>
          <w:szCs w:val="28"/>
        </w:rPr>
        <w:t xml:space="preserve">бюджетного планирования. </w:t>
      </w:r>
      <w:r>
        <w:rPr>
          <w:bCs/>
          <w:sz w:val="28"/>
          <w:szCs w:val="28"/>
        </w:rPr>
        <w:t xml:space="preserve">В 2025</w:t>
      </w:r>
      <w:r>
        <w:rPr>
          <w:bCs/>
          <w:sz w:val="28"/>
          <w:szCs w:val="28"/>
        </w:rPr>
        <w:t xml:space="preserve"> году Контрольно-счётной палатой города Орска проведен мониторинг муниципальных программ МО «Город Орск», в ходе которого проанализированы объемы финансирования, предусмотренные паспортами программ</w:t>
      </w:r>
      <w:r>
        <w:rPr>
          <w:bCs/>
          <w:color w:val="3366ff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решением Орского городского Совета депутатов от </w:t>
      </w:r>
      <w:r>
        <w:rPr>
          <w:bCs/>
          <w:sz w:val="28"/>
          <w:szCs w:val="28"/>
        </w:rPr>
        <w:t xml:space="preserve">12.12.2024 г. №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7-599 «О бюджете города Орска на 2025</w:t>
      </w:r>
      <w:r>
        <w:rPr>
          <w:bCs/>
          <w:sz w:val="28"/>
          <w:szCs w:val="28"/>
        </w:rPr>
        <w:t xml:space="preserve"> год и плановый перио</w:t>
      </w:r>
      <w:r>
        <w:rPr>
          <w:bCs/>
          <w:sz w:val="28"/>
          <w:szCs w:val="28"/>
        </w:rPr>
        <w:t xml:space="preserve">д 2026 и 2027</w:t>
      </w:r>
      <w:r>
        <w:rPr>
          <w:bCs/>
          <w:sz w:val="28"/>
          <w:szCs w:val="28"/>
        </w:rPr>
        <w:t xml:space="preserve"> годов».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экспертиз муниципальных правовых актов органов местного самоуправления выявляются следующие общераспространенные нарушения: </w:t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 своевременное приведение программ в соответствие с решением Орского городского совета депутатов от </w:t>
      </w:r>
      <w:r>
        <w:rPr>
          <w:bCs/>
          <w:sz w:val="28"/>
          <w:szCs w:val="28"/>
        </w:rPr>
        <w:t xml:space="preserve">12.12.2024 г. №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7-599 «О бюджете города Орска на 2025 год и плановый период 2026 и 2027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»;</w:t>
      </w:r>
      <w:r/>
    </w:p>
    <w:p>
      <w:pPr>
        <w:numPr>
          <w:ilvl w:val="0"/>
          <w:numId w:val="1"/>
        </w:numPr>
        <w:pBdr/>
        <w:tabs>
          <w:tab w:val="left" w:leader="none" w:pos="993"/>
        </w:tabs>
        <w:spacing w:line="276" w:lineRule="auto"/>
        <w:ind w:firstLine="709" w:left="0"/>
        <w:jc w:val="both"/>
        <w:rPr/>
      </w:pPr>
      <w:r>
        <w:rPr>
          <w:sz w:val="28"/>
          <w:szCs w:val="28"/>
        </w:rPr>
        <w:t xml:space="preserve">чаще всего при пересмотре сумм, предусмотренных на финансирование комплексов процессных мероприятий, допускаются арифметические ошибки.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связи с нарушениями и недостаткам</w:t>
      </w:r>
      <w:r>
        <w:rPr>
          <w:sz w:val="28"/>
          <w:szCs w:val="28"/>
        </w:rPr>
        <w:t xml:space="preserve">и, выявленными в ходе проведения экспертизы проектов нормативно-правовых актов органов местного самоуправления, Контрольно-счетной палатой города Орска вносились соответствующие предложения по направлению проектов на доработку в целях устранения замечаний.</w:t>
      </w:r>
      <w:r/>
    </w:p>
    <w:p>
      <w:pPr>
        <w:pBdr/>
        <w:spacing w:line="276" w:lineRule="auto"/>
        <w:ind w:firstLine="709"/>
        <w:jc w:val="both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</w:r>
      <w:r>
        <w:rPr>
          <w:color w:val="3366ff"/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b/>
          <w:sz w:val="28"/>
          <w:szCs w:val="28"/>
        </w:rPr>
        <w:t xml:space="preserve">2.1.2. Финансовая экспертиза проекта решения Орского городского Совета депутатов</w:t>
      </w:r>
      <w:r>
        <w:rPr>
          <w:b/>
          <w:sz w:val="28"/>
          <w:szCs w:val="28"/>
        </w:rPr>
        <w:t xml:space="preserve"> «О бюджете города Орска на 2026 год и плановый период 2027 и 2028</w:t>
      </w:r>
      <w:r>
        <w:rPr>
          <w:b/>
          <w:sz w:val="28"/>
          <w:szCs w:val="28"/>
        </w:rPr>
        <w:t xml:space="preserve"> годов»</w:t>
      </w:r>
      <w:r/>
    </w:p>
    <w:p>
      <w:pPr>
        <w:pBdr/>
        <w:spacing/>
        <w:ind w:firstLine="709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Bdr/>
        <w:spacing w:line="276" w:lineRule="auto"/>
        <w:ind w:firstLine="720"/>
        <w:jc w:val="both"/>
        <w:rPr/>
      </w:pPr>
      <w:r>
        <w:rPr>
          <w:sz w:val="28"/>
          <w:szCs w:val="28"/>
        </w:rPr>
        <w:t xml:space="preserve">В соответствии с требованиями Бюджетного кодекса Российской Федерации, нормативно-правовых актов муниципального образования «Город Орск», в рамках осуществления предварительного контроля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палатой города Орска проведена экспертиза проекта решения</w:t>
      </w:r>
      <w:r>
        <w:rPr>
          <w:sz w:val="28"/>
          <w:szCs w:val="28"/>
        </w:rPr>
        <w:t xml:space="preserve"> «О бюджете города Орска на 2026 год и плановый период 2027 и 2028</w:t>
      </w:r>
      <w:r>
        <w:rPr>
          <w:sz w:val="28"/>
          <w:szCs w:val="28"/>
        </w:rPr>
        <w:t xml:space="preserve"> годов», по результатам которой было подготовлено соответствующее заключение. </w:t>
      </w:r>
      <w:r/>
    </w:p>
    <w:p>
      <w:pPr>
        <w:pBdr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экспертизы являлось определение соответствия данного Проекта действующему бюджетному законодательству и нормативно-правовым актам органов местного самоуправления. Обоснованности объемов доходной и расходной части городского</w:t>
      </w:r>
      <w:r>
        <w:rPr>
          <w:sz w:val="28"/>
          <w:szCs w:val="28"/>
        </w:rPr>
        <w:t xml:space="preserve"> бюджета, дефицита бюджета, источников его внутреннего финансирования, данных программ муниципальных заимствований и муниципальных гарантий и их финансовой обеспеченности, правильности определения предельного объема и верхнего предела муниципального долга.</w:t>
      </w:r>
      <w:r>
        <w:rPr>
          <w:sz w:val="28"/>
          <w:szCs w:val="28"/>
        </w:rPr>
      </w:r>
    </w:p>
    <w:p>
      <w:pPr>
        <w:pBdr/>
        <w:spacing w:line="276" w:lineRule="auto"/>
        <w:ind w:firstLine="720"/>
        <w:jc w:val="both"/>
        <w:rPr/>
      </w:pPr>
      <w:r/>
      <w:r/>
    </w:p>
    <w:p>
      <w:pPr>
        <w:pBdr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экспертизой:</w:t>
      </w:r>
      <w:r>
        <w:rPr>
          <w:sz w:val="28"/>
          <w:szCs w:val="28"/>
        </w:rPr>
      </w:r>
    </w:p>
    <w:p>
      <w:pPr>
        <w:widowControl w:val="true"/>
        <w:pBdr/>
        <w:tabs>
          <w:tab w:val="left" w:leader="none" w:pos="1134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проведена проверка соблюдения этапов и сроков составления, Проекта бюджета;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1134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проведена проверка наличия и соответствия требованиям законодательства к составу и содержанию прилагаемых к Проекту бюджета материалов и документов; 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1134"/>
        </w:tabs>
        <w:spacing w:line="276" w:lineRule="auto"/>
        <w:ind w:firstLine="851"/>
        <w:jc w:val="both"/>
        <w:rPr/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проведена оценка сбалансированности бюджета;</w:t>
      </w:r>
      <w:r/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 анализ полноты и правильности отражения доходов городского бюджета в соответствии с Методикой формиро</w:t>
      </w:r>
      <w:r>
        <w:rPr>
          <w:sz w:val="28"/>
          <w:szCs w:val="28"/>
        </w:rPr>
        <w:t xml:space="preserve">вания городского бюджета на 2026</w:t>
      </w:r>
      <w:r>
        <w:rPr>
          <w:sz w:val="28"/>
          <w:szCs w:val="28"/>
        </w:rPr>
        <w:t xml:space="preserve"> год и плановы</w:t>
      </w:r>
      <w:r>
        <w:rPr>
          <w:sz w:val="28"/>
          <w:szCs w:val="28"/>
        </w:rPr>
        <w:t xml:space="preserve">й период 2027 и 2028</w:t>
      </w:r>
      <w:r>
        <w:rPr>
          <w:sz w:val="28"/>
          <w:szCs w:val="28"/>
        </w:rPr>
        <w:t xml:space="preserve"> годов,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методиками прогнозирования поступлений доходов в бюджет города Орска главных администраторов дохода, показателей прогноза социально-экономическо</w:t>
      </w:r>
      <w:r>
        <w:rPr>
          <w:sz w:val="28"/>
          <w:szCs w:val="28"/>
        </w:rPr>
        <w:t xml:space="preserve">го развития города Орска на 2026 год и плановый период 2027 и 2028</w:t>
      </w:r>
      <w:r>
        <w:rPr>
          <w:sz w:val="28"/>
          <w:szCs w:val="28"/>
        </w:rPr>
        <w:t xml:space="preserve"> годов;</w:t>
      </w:r>
      <w:r/>
    </w:p>
    <w:p>
      <w:pPr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"/>
          <w:color w:val="3366ff"/>
          <w:sz w:val="28"/>
          <w:szCs w:val="28"/>
        </w:rPr>
        <w:t xml:space="preserve">-</w:t>
      </w:r>
      <w:r>
        <w:rPr>
          <w:rFonts w:eastAsia="Times New Roman"/>
          <w:color w:val="3366ff"/>
          <w:sz w:val="28"/>
          <w:szCs w:val="28"/>
        </w:rPr>
        <w:tab/>
      </w:r>
      <w:r>
        <w:rPr>
          <w:sz w:val="28"/>
          <w:szCs w:val="28"/>
        </w:rPr>
        <w:t xml:space="preserve">проведён анализ влияния на объем доходов, изменений в налоговом законодательстве Российской Федерации, законодательных актах Оренбургской области и решениях органов местного самоуправления города Орска;</w:t>
      </w:r>
      <w:r/>
    </w:p>
    <w:p>
      <w:pPr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определена обоснованность объемов расходов городского бюджета путем выборочной проверки расчетов, произведенных в соответствии с Методикой формиро</w:t>
      </w:r>
      <w:r>
        <w:rPr>
          <w:sz w:val="28"/>
          <w:szCs w:val="28"/>
        </w:rPr>
        <w:t xml:space="preserve">вания городского бюджета на 2026 год и плановый период 2027 и 2028</w:t>
      </w:r>
      <w:r>
        <w:rPr>
          <w:sz w:val="28"/>
          <w:szCs w:val="28"/>
        </w:rPr>
        <w:t xml:space="preserve"> годов, утвержденной приказом Финансового управления администрации города Орска </w:t>
      </w:r>
      <w:r>
        <w:rPr>
          <w:sz w:val="28"/>
          <w:szCs w:val="28"/>
          <w:shd w:val="clear" w:color="auto" w:fill="ffffff"/>
        </w:rPr>
        <w:t xml:space="preserve">от 01.11.2025г. № 78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sz w:val="28"/>
          <w:szCs w:val="28"/>
          <w:shd w:val="clear" w:color="auto" w:fill="ffffff"/>
        </w:rPr>
        <w:t xml:space="preserve">-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проведён анализ полноты отражения источников финансирования дефицита бюджета;</w:t>
      </w:r>
      <w:r/>
    </w:p>
    <w:p>
      <w:pPr>
        <w:pBdr/>
        <w:tabs>
          <w:tab w:val="left" w:leader="none" w:pos="993"/>
        </w:tabs>
        <w:spacing/>
        <w:ind w:firstLine="720"/>
        <w:jc w:val="both"/>
        <w:rPr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проверено соответствие сумм, принятых и планируемых муниципальных внутренн</w:t>
      </w:r>
      <w:r>
        <w:rPr>
          <w:sz w:val="28"/>
          <w:szCs w:val="28"/>
        </w:rPr>
        <w:t xml:space="preserve">их долговых обязательств на 2026</w:t>
      </w:r>
      <w:r>
        <w:rPr>
          <w:sz w:val="28"/>
          <w:szCs w:val="28"/>
        </w:rPr>
        <w:t xml:space="preserve"> год, а также </w:t>
      </w:r>
      <w:r>
        <w:rPr>
          <w:rFonts w:eastAsia="Times New Roman"/>
          <w:sz w:val="28"/>
          <w:szCs w:val="28"/>
        </w:rPr>
        <w:t xml:space="preserve">расходов на их обслуживание.</w:t>
      </w:r>
      <w:r/>
    </w:p>
    <w:p>
      <w:pPr>
        <w:pBdr/>
        <w:spacing w:line="276" w:lineRule="auto"/>
        <w:ind w:firstLine="720"/>
        <w:jc w:val="both"/>
        <w:rPr/>
      </w:pPr>
      <w:r>
        <w:rPr>
          <w:sz w:val="28"/>
          <w:szCs w:val="28"/>
        </w:rPr>
        <w:t xml:space="preserve">Основной вывод</w:t>
      </w:r>
      <w:r>
        <w:rPr>
          <w:sz w:val="28"/>
          <w:szCs w:val="28"/>
        </w:rPr>
        <w:t xml:space="preserve"> Контрольно-счетной палаты города Орска по результатам проведенной экспертизы заключается в том, что Проект бюджета сформирован в соответствии с основными положениями бюджетной и налоговой политики, прогнозом социально-экономического развития города Орска </w:t>
      </w:r>
      <w:r>
        <w:rPr>
          <w:rFonts w:eastAsia="Times New Roman"/>
          <w:sz w:val="28"/>
          <w:szCs w:val="28"/>
        </w:rPr>
        <w:t xml:space="preserve">на 2026</w:t>
      </w:r>
      <w:r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 xml:space="preserve"> и плановый период 2027 и 2028</w:t>
      </w:r>
      <w:r>
        <w:rPr>
          <w:rFonts w:eastAsia="Times New Roman"/>
          <w:sz w:val="28"/>
          <w:szCs w:val="28"/>
        </w:rPr>
        <w:t xml:space="preserve"> годов, утвержденным Постановлением </w:t>
      </w:r>
      <w:r>
        <w:rPr>
          <w:rFonts w:eastAsia="Times New Roman"/>
          <w:sz w:val="28"/>
          <w:szCs w:val="28"/>
        </w:rPr>
        <w:t xml:space="preserve">администрации города Орска от 13.11.2025г. № 44</w:t>
      </w:r>
      <w:r>
        <w:rPr>
          <w:rFonts w:eastAsia="Times New Roman"/>
          <w:sz w:val="28"/>
          <w:szCs w:val="28"/>
        </w:rPr>
        <w:t xml:space="preserve">7</w:t>
      </w:r>
      <w:r>
        <w:rPr>
          <w:rFonts w:eastAsia="Times New Roman"/>
          <w:sz w:val="28"/>
          <w:szCs w:val="28"/>
        </w:rPr>
        <w:t xml:space="preserve">3</w:t>
      </w:r>
      <w:r>
        <w:rPr>
          <w:rFonts w:eastAsia="Times New Roman"/>
          <w:sz w:val="28"/>
          <w:szCs w:val="28"/>
        </w:rPr>
        <w:t xml:space="preserve">-п «Об одобрении прогноза социально-экономическо</w:t>
      </w:r>
      <w:r>
        <w:rPr>
          <w:rFonts w:eastAsia="Times New Roman"/>
          <w:sz w:val="28"/>
          <w:szCs w:val="28"/>
        </w:rPr>
        <w:t xml:space="preserve">го развития города Орска на 2026 год и плановый период 2027 и 2028</w:t>
      </w:r>
      <w:r>
        <w:rPr>
          <w:rFonts w:eastAsia="Times New Roman"/>
          <w:sz w:val="28"/>
          <w:szCs w:val="28"/>
        </w:rPr>
        <w:t xml:space="preserve"> годов». </w:t>
      </w:r>
      <w:r>
        <w:rPr>
          <w:sz w:val="28"/>
          <w:szCs w:val="28"/>
        </w:rPr>
        <w:t xml:space="preserve">Бюджет социально направлен и сбалансирован, в связи, с чем Орскому городскому Совету депутатов были даны предложения о приняти</w:t>
      </w:r>
      <w:r>
        <w:rPr>
          <w:sz w:val="28"/>
          <w:szCs w:val="28"/>
        </w:rPr>
        <w:t xml:space="preserve">и Проекта бюджета города на 2026 год и плановый период 2027 и 2028</w:t>
      </w:r>
      <w:r>
        <w:rPr>
          <w:sz w:val="28"/>
          <w:szCs w:val="28"/>
        </w:rPr>
        <w:t xml:space="preserve"> годов.</w:t>
      </w:r>
      <w:r/>
    </w:p>
    <w:p>
      <w:pPr>
        <w:pBdr/>
        <w:spacing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Bdr/>
        <w:spacing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2.1.3. Финансовая экспертиза вносимых изменений в проект решения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b/>
          <w:sz w:val="28"/>
          <w:szCs w:val="28"/>
        </w:rPr>
        <w:t xml:space="preserve">Орского городского Совета депутатов</w:t>
      </w:r>
      <w:r>
        <w:rPr>
          <w:b/>
          <w:sz w:val="28"/>
          <w:szCs w:val="28"/>
        </w:rPr>
        <w:t xml:space="preserve"> «О бюджете города Орска на 2025 год и плановый период 2026 и 2027</w:t>
      </w:r>
      <w:r>
        <w:rPr>
          <w:b/>
          <w:sz w:val="28"/>
          <w:szCs w:val="28"/>
        </w:rPr>
        <w:t xml:space="preserve"> годов»</w:t>
      </w:r>
      <w:r/>
    </w:p>
    <w:p>
      <w:pPr>
        <w:pBdr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течение 2025 года проведена экспертиза по 1 представленно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 проекту</w:t>
      </w:r>
      <w:r>
        <w:rPr>
          <w:sz w:val="28"/>
          <w:szCs w:val="28"/>
        </w:rPr>
        <w:t xml:space="preserve"> решения Орского городского Совета депутатов «О внесении изменений в решение Орского городского Совета депутатов</w:t>
      </w:r>
      <w:r>
        <w:rPr>
          <w:sz w:val="28"/>
          <w:szCs w:val="28"/>
        </w:rPr>
        <w:t xml:space="preserve"> «О бюджете города Орска на 2025 год и плановый период 2026 и 2027</w:t>
      </w:r>
      <w:r>
        <w:rPr>
          <w:sz w:val="28"/>
          <w:szCs w:val="28"/>
        </w:rPr>
        <w:t xml:space="preserve"> годов».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Основной задачей, проводимой в 2025 году финансовой</w:t>
      </w:r>
      <w:r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как и в прошлые годы, являлось ус</w:t>
      </w:r>
      <w:r>
        <w:rPr>
          <w:sz w:val="28"/>
          <w:szCs w:val="28"/>
        </w:rPr>
        <w:t xml:space="preserve">тановление соответствия Проекта</w:t>
      </w:r>
      <w:r>
        <w:rPr>
          <w:sz w:val="28"/>
          <w:szCs w:val="28"/>
        </w:rPr>
        <w:t xml:space="preserve"> действующему законодательству и опр</w:t>
      </w:r>
      <w:r>
        <w:rPr>
          <w:sz w:val="28"/>
          <w:szCs w:val="28"/>
        </w:rPr>
        <w:t xml:space="preserve">еделения обоснованности вносимого изменения</w:t>
      </w:r>
      <w:r>
        <w:rPr>
          <w:sz w:val="28"/>
          <w:szCs w:val="28"/>
        </w:rPr>
        <w:t xml:space="preserve"> в городской бюджет. </w:t>
      </w:r>
      <w:r/>
    </w:p>
    <w:p>
      <w:pPr>
        <w:pBdr/>
        <w:spacing w:line="276" w:lineRule="auto"/>
        <w:ind/>
        <w:jc w:val="both"/>
        <w:rPr>
          <w:bCs/>
          <w:color w:val="3366ff"/>
          <w:sz w:val="28"/>
          <w:szCs w:val="28"/>
        </w:rPr>
      </w:pPr>
      <w:r>
        <w:rPr>
          <w:bCs/>
          <w:color w:val="3366ff"/>
          <w:sz w:val="28"/>
          <w:szCs w:val="28"/>
        </w:rPr>
      </w:r>
      <w:r>
        <w:rPr>
          <w:bCs/>
          <w:color w:val="3366ff"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Контрольная деятельность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</w:t>
      </w:r>
      <w:r>
        <w:rPr>
          <w:sz w:val="28"/>
          <w:szCs w:val="28"/>
        </w:rPr>
        <w:t xml:space="preserve">сновным направлением контрольной деятельности </w:t>
      </w:r>
      <w:r>
        <w:rPr>
          <w:sz w:val="28"/>
          <w:szCs w:val="28"/>
        </w:rPr>
        <w:t xml:space="preserve">Контрольно-счётной палаты в 2025</w:t>
      </w:r>
      <w:r>
        <w:rPr>
          <w:sz w:val="28"/>
          <w:szCs w:val="28"/>
        </w:rPr>
        <w:t xml:space="preserve"> году являлся контроль законности, результативности и экономности использования средств бюджета муниципального образования «Город Орск». Контрольными мероприятиями были охвачены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жилищно-коммунального, дорожного хозяйства и транспорта администрации города Орска, учреждения по</w:t>
      </w:r>
      <w:r>
        <w:rPr>
          <w:sz w:val="28"/>
          <w:szCs w:val="28"/>
        </w:rPr>
        <w:t xml:space="preserve">дведомственные отделу культуры,</w:t>
      </w:r>
      <w:r>
        <w:rPr>
          <w:sz w:val="28"/>
          <w:szCs w:val="28"/>
        </w:rPr>
        <w:t xml:space="preserve"> управлению образования администрации города Орска,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комитету</w:t>
      </w:r>
      <w:r>
        <w:rPr>
          <w:sz w:val="28"/>
          <w:szCs w:val="28"/>
        </w:rPr>
        <w:t xml:space="preserve"> по физической культуре, спорту и туризму администрации города Орска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отчетном году Контрольно-счётной палатой города проведен весь комплекс контрольных мероприятий, преду</w:t>
      </w:r>
      <w:r>
        <w:rPr>
          <w:sz w:val="28"/>
          <w:szCs w:val="28"/>
        </w:rPr>
        <w:t xml:space="preserve">смотренных планом работы на 2025</w:t>
      </w:r>
      <w:r>
        <w:rPr>
          <w:sz w:val="28"/>
          <w:szCs w:val="28"/>
        </w:rPr>
        <w:t xml:space="preserve"> год. Одн</w:t>
      </w:r>
      <w:r>
        <w:rPr>
          <w:sz w:val="28"/>
          <w:szCs w:val="28"/>
        </w:rPr>
        <w:t xml:space="preserve">о контрольное мероприятие </w:t>
      </w:r>
      <w:r>
        <w:rPr>
          <w:sz w:val="28"/>
          <w:szCs w:val="28"/>
        </w:rPr>
        <w:t xml:space="preserve">бы</w:t>
      </w:r>
      <w:r>
        <w:rPr>
          <w:sz w:val="28"/>
          <w:szCs w:val="28"/>
        </w:rPr>
        <w:t xml:space="preserve">ло завершено в январе 2025 года переходящее с 2024</w:t>
      </w:r>
      <w:r>
        <w:rPr>
          <w:sz w:val="28"/>
          <w:szCs w:val="28"/>
        </w:rPr>
        <w:t xml:space="preserve"> года. 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Традиционно, при проведении проверок внимание Контрольно-счётной палаты города Орска было обращено на целевой характер, эффективность и результативность использования бюджетных средств.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соответствии с планом работы Контрольно-счё</w:t>
      </w:r>
      <w:r>
        <w:rPr>
          <w:sz w:val="28"/>
          <w:szCs w:val="28"/>
        </w:rPr>
        <w:t xml:space="preserve">тной палаты города Орска на 2025</w:t>
      </w:r>
      <w:r>
        <w:rPr>
          <w:sz w:val="28"/>
          <w:szCs w:val="28"/>
        </w:rPr>
        <w:t xml:space="preserve"> год завершено про</w:t>
      </w:r>
      <w:r>
        <w:rPr>
          <w:sz w:val="28"/>
          <w:szCs w:val="28"/>
        </w:rPr>
        <w:t xml:space="preserve">ведение 22 контрольно-ревизионных мероприятий, включая внешнюю проверку годового отчета об исполнении бюджета города Орска и годовой бюджетной отчетности главных администраторов бюджетных средств (главных администраторов доходов бюджета и главных распоряди</w:t>
      </w:r>
      <w:r>
        <w:rPr>
          <w:sz w:val="28"/>
          <w:szCs w:val="28"/>
        </w:rPr>
        <w:t xml:space="preserve">телей бюджетных средств) за 2024</w:t>
      </w:r>
      <w:r>
        <w:rPr>
          <w:sz w:val="28"/>
          <w:szCs w:val="28"/>
        </w:rPr>
        <w:t xml:space="preserve"> год,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проведены следующие контрольные мероприятия:</w:t>
      </w:r>
      <w:r/>
    </w:p>
    <w:p>
      <w:pPr>
        <w:pBdr/>
        <w:tabs>
          <w:tab w:val="left" w:leader="none" w:pos="1276"/>
        </w:tabs>
        <w:spacing w:line="276" w:lineRule="auto"/>
        <w:ind w:firstLine="851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Times New Roman"/>
          <w:sz w:val="28"/>
          <w:szCs w:val="28"/>
        </w:rPr>
        <w:t xml:space="preserve">1)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Проверка правильности планирования, выделения и эффективного освоения денежных средств, предусмотренных на капитальный ремонт </w:t>
      </w:r>
      <w:r>
        <w:rPr>
          <w:rFonts w:eastAsia="Times New Roman"/>
          <w:sz w:val="28"/>
          <w:szCs w:val="28"/>
        </w:rPr>
        <w:t xml:space="preserve">муниципального автономного учреждения дополнительного образования «Спортивная школа «Надежда» города Орска в 2022 - 2023 годах. Аудит закупок.</w:t>
      </w:r>
      <w:r>
        <w:rPr>
          <w:rFonts w:eastAsia="Calibri"/>
          <w:sz w:val="28"/>
          <w:szCs w:val="28"/>
          <w:highlight w:val="yellow"/>
          <w:lang w:eastAsia="en-US"/>
        </w:rPr>
      </w:r>
    </w:p>
    <w:p>
      <w:pPr>
        <w:pBdr/>
        <w:tabs>
          <w:tab w:val="left" w:leader="none" w:pos="1276"/>
        </w:tabs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2)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Проверка правильности планирования, выделения и эффективного освоени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я субсидии на иные цели, предусмотренной на поддержку отрасли культуры по оснащению образовательных учреждений в сфере культуры музыкальными инструментами, оборудованием и учебными материалами МАУДО «Детская школа искусств № 1» им. Е.Ф. Куревлева г. Орска.</w:t>
      </w:r>
      <w:r>
        <w:rPr>
          <w:rFonts w:eastAsia="Calibri"/>
          <w:color w:val="000000"/>
          <w:sz w:val="28"/>
          <w:szCs w:val="28"/>
          <w:shd w:val="clear" w:color="auto" w:fill="ffffff"/>
        </w:rPr>
      </w:r>
    </w:p>
    <w:p>
      <w:pPr>
        <w:widowControl w:val="true"/>
        <w:pBdr/>
        <w:tabs>
          <w:tab w:val="left" w:leader="none" w:pos="1276"/>
        </w:tabs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Проверка целевого и эффективного использования средств, выделенных МОАУ «СОШ №27 г. Орска» в 2024 году на поставку и установку спортивной площадки для игры в мини-футбол на открытом воздухе.</w:t>
      </w:r>
      <w:r>
        <w:rPr>
          <w:rFonts w:eastAsia="Calibri"/>
          <w:sz w:val="28"/>
          <w:szCs w:val="28"/>
          <w:lang w:eastAsia="en-US"/>
        </w:rPr>
      </w:r>
    </w:p>
    <w:p>
      <w:pPr>
        <w:widowControl w:val="true"/>
        <w:pBdr/>
        <w:spacing w:line="276" w:lineRule="auto"/>
        <w:ind w:firstLine="851"/>
        <w:jc w:val="both"/>
        <w:rPr>
          <w:rFonts w:eastAsia="Times New Roman"/>
          <w:bCs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4)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ab/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Проверка использования бюджетных средств, выделенных в 2024 году на реализацию инициативных проектов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eastAsia="Times New Roman"/>
          <w:bCs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highlight w:val="yellow"/>
          <w:shd w:val="clear" w:color="auto" w:fill="ffffff"/>
        </w:rPr>
      </w:r>
    </w:p>
    <w:p>
      <w:pPr>
        <w:widowControl w:val="true"/>
        <w:pBdr/>
        <w:spacing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Проверка целевого </w:t>
      </w:r>
      <w:r>
        <w:rPr>
          <w:rFonts w:eastAsia="Times New Roman"/>
          <w:sz w:val="28"/>
          <w:szCs w:val="28"/>
        </w:rPr>
        <w:t xml:space="preserve">и эффективного использования бюджетных средств, выделенных МАУК «Городские парки г. Орска» на осуществление капитальных вложений в объекты капитального строительства муниципальной собственности – строительство моста в парке «Строителей» в 2023 – 2024 годах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pacing/>
        <w:ind w:firstLine="851"/>
        <w:jc w:val="both"/>
        <w:rPr>
          <w:highlight w:val="yellow"/>
        </w:rPr>
      </w:pPr>
      <w:r>
        <w:rPr>
          <w:rFonts w:eastAsia="Times New Roman"/>
          <w:sz w:val="28"/>
          <w:szCs w:val="28"/>
        </w:rPr>
        <w:t xml:space="preserve">6)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Проверка правильности планирования, выделения и эффективного освоения денежных средств МАУК «Орский краеведческий музей», предусмотренных на благоустройство сквера Богдана Хмельницкого в 2023 году</w:t>
      </w:r>
      <w:r>
        <w:rPr>
          <w:rFonts w:eastAsia="Times New Roman"/>
          <w:sz w:val="28"/>
          <w:szCs w:val="28"/>
        </w:rPr>
        <w:t xml:space="preserve">.</w:t>
      </w:r>
      <w:r>
        <w:rPr>
          <w:highlight w:val="yellow"/>
        </w:rPr>
      </w:r>
    </w:p>
    <w:p>
      <w:pPr>
        <w:pBdr>
          <w:top w:val="none" w:color="000000" w:sz="0" w:space="0"/>
          <w:left w:val="none" w:color="000000" w:sz="0" w:space="0"/>
          <w:bottom w:val="single" w:color="000000" w:sz="12" w:space="3"/>
          <w:right w:val="none" w:color="000000" w:sz="0" w:space="0"/>
        </w:pBdr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За 2025</w:t>
      </w:r>
      <w:r>
        <w:rPr>
          <w:sz w:val="28"/>
          <w:szCs w:val="28"/>
        </w:rPr>
        <w:t xml:space="preserve"> год, при проведении контрольных ме</w:t>
      </w:r>
      <w:r>
        <w:rPr>
          <w:sz w:val="28"/>
          <w:szCs w:val="28"/>
        </w:rPr>
        <w:t xml:space="preserve">роприятий охвачено проверками 24</w:t>
      </w:r>
      <w:r>
        <w:rPr>
          <w:sz w:val="28"/>
          <w:szCs w:val="28"/>
        </w:rPr>
        <w:t xml:space="preserve"> объект. Объектами контрольных мероприятий были 4 органа местного самоуправления,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муниципальных учреждений, 1</w:t>
      </w:r>
      <w:r>
        <w:rPr>
          <w:sz w:val="28"/>
          <w:szCs w:val="28"/>
        </w:rPr>
        <w:t xml:space="preserve"> общество</w:t>
      </w:r>
      <w:r>
        <w:rPr>
          <w:sz w:val="28"/>
          <w:szCs w:val="28"/>
        </w:rPr>
        <w:t xml:space="preserve"> с ограниченной </w:t>
      </w:r>
      <w:r>
        <w:rPr>
          <w:sz w:val="28"/>
          <w:szCs w:val="28"/>
        </w:rPr>
        <w:t xml:space="preserve">ответсвенностью</w:t>
      </w:r>
      <w:r>
        <w:rPr>
          <w:sz w:val="28"/>
          <w:szCs w:val="28"/>
        </w:rPr>
        <w:t xml:space="preserve">. </w:t>
      </w:r>
      <w:r/>
    </w:p>
    <w:p>
      <w:pPr>
        <w:pBdr>
          <w:top w:val="none" w:color="000000" w:sz="0" w:space="0"/>
          <w:left w:val="none" w:color="000000" w:sz="0" w:space="0"/>
          <w:bottom w:val="single" w:color="000000" w:sz="12" w:space="3"/>
          <w:right w:val="none" w:color="000000" w:sz="0" w:space="0"/>
        </w:pBdr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На диаграмме № 3 представлена структура объектов контрольны</w:t>
      </w:r>
      <w:r>
        <w:rPr>
          <w:sz w:val="28"/>
          <w:szCs w:val="28"/>
        </w:rPr>
        <w:t xml:space="preserve">х мероприятий, охваченных в 2025</w:t>
      </w:r>
      <w:r>
        <w:rPr>
          <w:sz w:val="28"/>
          <w:szCs w:val="28"/>
        </w:rPr>
        <w:t xml:space="preserve"> году.</w:t>
      </w:r>
      <w:r/>
    </w:p>
    <w:p>
      <w:pPr>
        <w:pBdr/>
        <w:spacing w:line="276" w:lineRule="auto"/>
        <w:ind w:firstLine="708"/>
        <w:jc w:val="both"/>
        <w:rPr>
          <w:b/>
        </w:rPr>
      </w:pPr>
      <w:r>
        <w:rPr>
          <w:b/>
          <w:bCs/>
        </w:rPr>
        <w:t xml:space="preserve">Диаграмма</w:t>
      </w:r>
      <w:r>
        <w:rPr>
          <w:b/>
        </w:rPr>
        <w:t xml:space="preserve"> № 3 Структура объектов контрольны</w:t>
      </w:r>
      <w:r>
        <w:rPr>
          <w:b/>
        </w:rPr>
        <w:t xml:space="preserve">х мероприятий, охваченных</w:t>
      </w:r>
      <w:r>
        <w:rPr>
          <w:b/>
        </w:rPr>
        <w:br/>
      </w:r>
      <w:r>
        <w:rPr>
          <w:b/>
        </w:rPr>
        <w:t xml:space="preserve">в 2025</w:t>
      </w:r>
      <w:r>
        <w:rPr>
          <w:b/>
        </w:rPr>
        <w:t xml:space="preserve"> году</w:t>
      </w:r>
      <w:r>
        <w:rPr>
          <w:b/>
        </w:rPr>
      </w:r>
    </w:p>
    <w:p>
      <w:pPr>
        <w:widowControl w:val="true"/>
        <w:pBdr/>
        <w:spacing/>
        <w:ind/>
        <w:rPr>
          <w:b/>
          <w:sz w:val="28"/>
          <w:szCs w:val="28"/>
        </w:rPr>
      </w:pPr>
      <w:r>
        <w:rPr>
          <w:lang w:eastAsia="ru-RU"/>
        </w:rPr>
        <w:drawing>
          <wp:anchor xmlns:wp="http://schemas.openxmlformats.org/drawingml/2006/wordprocessingDrawing" xmlns:wp14="http://schemas.microsoft.com/office/word/2010/wordprocessingDrawing" distT="0" distB="254" distL="114300" distR="114554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886325" cy="2819400"/>
            <wp:effectExtent l="0" t="0" r="0" b="0"/>
            <wp:wrapNone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выборочно проверенных средств бюджета (без учёта средств, подлежащих контролю в рамках внешних проверок бюджетной отчётности) за отчётный период составил </w:t>
      </w:r>
      <w:r>
        <w:rPr>
          <w:sz w:val="28"/>
          <w:szCs w:val="28"/>
        </w:rPr>
        <w:t xml:space="preserve">439 844,4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контрольно - реви</w:t>
      </w:r>
      <w:r>
        <w:rPr>
          <w:sz w:val="28"/>
          <w:szCs w:val="28"/>
        </w:rPr>
        <w:t xml:space="preserve">зионных мероприятий составлено 6</w:t>
      </w:r>
      <w:r>
        <w:rPr>
          <w:sz w:val="28"/>
          <w:szCs w:val="28"/>
        </w:rPr>
        <w:t xml:space="preserve"> актов. Все акты подписаны без замечаний и разногласий.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выявленных нарушений наибольшую долю составляют нарушения </w:t>
      </w:r>
      <w:r>
        <w:rPr>
          <w:sz w:val="28"/>
          <w:szCs w:val="28"/>
        </w:rPr>
        <w:t xml:space="preserve">установленного порядка управления и распоряжения муниципальным имуществом (37,0</w:t>
      </w:r>
      <w:r>
        <w:rPr>
          <w:sz w:val="28"/>
          <w:szCs w:val="28"/>
        </w:rPr>
        <w:t xml:space="preserve">%).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Основными нарушениями, выявленных в ходе проверок, проводимых Контрольно-счётной палатой города Орска, являлись нарушения</w:t>
      </w:r>
      <w:r>
        <w:t xml:space="preserve"> </w:t>
      </w:r>
      <w:r>
        <w:rPr>
          <w:sz w:val="28"/>
          <w:szCs w:val="28"/>
        </w:rPr>
        <w:t xml:space="preserve">требований,</w:t>
      </w:r>
      <w:r>
        <w:t xml:space="preserve"> </w:t>
      </w:r>
      <w:r>
        <w:rPr>
          <w:rFonts w:eastAsia="Times New Roman"/>
          <w:sz w:val="28"/>
          <w:szCs w:val="28"/>
        </w:rPr>
        <w:t xml:space="preserve">Порядка ведения органами местного самоуправления реестров муниципального имущества, утвержденного приказом Министерства финансов России от 10.10.2023 г. № 163н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не своевременного отнесению имущества учреждений к особо ценному движимому имуществу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место занимают </w:t>
      </w:r>
      <w:r>
        <w:rPr>
          <w:sz w:val="28"/>
          <w:szCs w:val="28"/>
        </w:rPr>
        <w:t xml:space="preserve">нарушения ведения бухгалтерского учета, составления и предоставление бюджетной отчётности (28,0</w:t>
      </w:r>
      <w:r>
        <w:rPr>
          <w:sz w:val="28"/>
          <w:szCs w:val="28"/>
        </w:rPr>
        <w:t xml:space="preserve">%).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указанного нарушения наибольшую долю занимает нарушения </w:t>
      </w:r>
      <w:r>
        <w:rPr>
          <w:sz w:val="28"/>
          <w:szCs w:val="28"/>
        </w:rPr>
        <w:t xml:space="preserve">федерального стандарта бухгалтерского учета для организаций государственного сектора "Основные средства", установленных Приказом Минфина России от 31 декабря 2016 года №257н, </w:t>
      </w:r>
      <w:r>
        <w:rPr>
          <w:sz w:val="28"/>
          <w:szCs w:val="28"/>
        </w:rPr>
        <w:t xml:space="preserve">требований приказа М</w:t>
      </w:r>
      <w:r>
        <w:rPr>
          <w:sz w:val="28"/>
          <w:szCs w:val="28"/>
        </w:rPr>
        <w:t xml:space="preserve">инфина РФ от 23.12.2010 г. </w:t>
      </w:r>
      <w:r>
        <w:rPr>
          <w:sz w:val="28"/>
          <w:szCs w:val="28"/>
        </w:rPr>
        <w:t xml:space="preserve">№ 183н «Об утверждении Плана счетов бухгалтерского учета автономных учреждений и Инструкции по его применению»</w:t>
      </w:r>
      <w:r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офо</w:t>
      </w:r>
      <w:r>
        <w:rPr>
          <w:sz w:val="28"/>
          <w:szCs w:val="28"/>
        </w:rPr>
        <w:t xml:space="preserve">рмления</w:t>
      </w:r>
      <w:r>
        <w:rPr>
          <w:sz w:val="28"/>
          <w:szCs w:val="28"/>
        </w:rPr>
        <w:t xml:space="preserve"> фактов хозяйственной жизни первичными учетными документами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Инструкции</w:t>
      </w:r>
      <w:r>
        <w:rPr>
          <w:bCs/>
          <w:sz w:val="28"/>
          <w:szCs w:val="28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№ 33н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</w:r>
      <w:r>
        <w:rPr>
          <w:bCs/>
          <w:sz w:val="28"/>
          <w:szCs w:val="28"/>
        </w:rPr>
        <w:t xml:space="preserve"> в части </w:t>
      </w:r>
      <w:r>
        <w:rPr>
          <w:bCs/>
          <w:sz w:val="28"/>
          <w:szCs w:val="28"/>
        </w:rPr>
        <w:t xml:space="preserve">искажения бухгалтерской (бюджетной) отчетности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</w:t>
      </w:r>
      <w:r>
        <w:rPr>
          <w:sz w:val="28"/>
          <w:szCs w:val="28"/>
        </w:rPr>
        <w:t xml:space="preserve">тье место по объему нарушений (27,8</w:t>
      </w:r>
      <w:r>
        <w:rPr>
          <w:sz w:val="28"/>
          <w:szCs w:val="28"/>
        </w:rPr>
        <w:t xml:space="preserve">%), выявленных при проведени</w:t>
      </w:r>
      <w:r>
        <w:rPr>
          <w:sz w:val="28"/>
          <w:szCs w:val="28"/>
        </w:rPr>
        <w:t xml:space="preserve">и контрольных мероприятий в 2025</w:t>
      </w:r>
      <w:r>
        <w:rPr>
          <w:sz w:val="28"/>
          <w:szCs w:val="28"/>
        </w:rPr>
        <w:t xml:space="preserve"> году, занимает </w:t>
      </w:r>
      <w:r>
        <w:rPr>
          <w:sz w:val="28"/>
          <w:szCs w:val="28"/>
        </w:rPr>
        <w:t xml:space="preserve">нарушение, выя</w:t>
      </w:r>
      <w:r>
        <w:rPr>
          <w:sz w:val="28"/>
          <w:szCs w:val="28"/>
        </w:rPr>
        <w:t xml:space="preserve">вленное при осуществлении муниципальных закупок, это нарушение Федерального закона от 18.07.2011 г. № 223-ФЗ «О закупках товаров, работ, услуг отдельными видами юридических лиц» в части не размещения информации на официальном сайте об исполнении договора.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Четвёртое место</w:t>
      </w:r>
      <w:r>
        <w:rPr>
          <w:sz w:val="28"/>
          <w:szCs w:val="28"/>
        </w:rPr>
        <w:t xml:space="preserve"> (4,6%)</w:t>
      </w:r>
      <w:r>
        <w:rPr>
          <w:sz w:val="28"/>
          <w:szCs w:val="28"/>
        </w:rPr>
        <w:t xml:space="preserve"> занимают нарушения использования бюджетных средств с нарушением законодательных актов Российской Федерации и </w:t>
      </w:r>
      <w:r>
        <w:rPr>
          <w:sz w:val="28"/>
          <w:szCs w:val="28"/>
        </w:rPr>
        <w:t xml:space="preserve">муниципальных нормативно-правовых актов в части </w:t>
      </w:r>
      <w:r>
        <w:rPr>
          <w:bCs/>
          <w:sz w:val="28"/>
          <w:szCs w:val="28"/>
        </w:rPr>
        <w:t xml:space="preserve">несоблюдения сроков перечисления субсидий, и денежных средств, подлежащих своевременному перечислению.</w:t>
      </w:r>
      <w:r>
        <w:rPr>
          <w:bCs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Пятое место</w:t>
      </w:r>
      <w:r>
        <w:rPr>
          <w:bCs/>
          <w:sz w:val="28"/>
          <w:szCs w:val="28"/>
        </w:rPr>
        <w:t xml:space="preserve"> (1,9%)</w:t>
      </w:r>
      <w:r>
        <w:rPr>
          <w:bCs/>
          <w:sz w:val="28"/>
          <w:szCs w:val="28"/>
        </w:rPr>
        <w:t xml:space="preserve"> занимают нарушения, </w:t>
      </w:r>
      <w:r>
        <w:rPr>
          <w:bCs/>
          <w:sz w:val="28"/>
          <w:szCs w:val="28"/>
        </w:rPr>
        <w:t xml:space="preserve">неправомерного использования бюджетных средств, это нарушение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Градостроительного кодекса Российской Федерации</w:t>
      </w:r>
      <w:r>
        <w:rPr>
          <w:rFonts w:eastAsia="Times New Roman"/>
          <w:bCs/>
          <w:sz w:val="28"/>
          <w:szCs w:val="28"/>
        </w:rPr>
        <w:t xml:space="preserve">, </w:t>
      </w:r>
      <w:r>
        <w:rPr>
          <w:rFonts w:eastAsia="Times New Roman"/>
          <w:bCs/>
          <w:sz w:val="28"/>
          <w:szCs w:val="28"/>
        </w:rPr>
        <w:t xml:space="preserve">Правил благоустройства территории города Орска</w:t>
      </w:r>
      <w:r>
        <w:rPr>
          <w:rFonts w:eastAsia="Times New Roman"/>
          <w:bCs/>
          <w:sz w:val="28"/>
          <w:szCs w:val="28"/>
        </w:rPr>
        <w:t xml:space="preserve"> в части необоснованной оплаты </w:t>
      </w:r>
      <w:r>
        <w:rPr>
          <w:rFonts w:eastAsia="Times New Roman"/>
          <w:bCs/>
          <w:sz w:val="28"/>
          <w:szCs w:val="28"/>
        </w:rPr>
        <w:t xml:space="preserve">услуг по строительному контролю за счет средств бюджета муниципального образования</w:t>
      </w:r>
      <w:r>
        <w:rPr>
          <w:rFonts w:eastAsia="Times New Roman"/>
          <w:bCs/>
          <w:sz w:val="28"/>
          <w:szCs w:val="28"/>
        </w:rPr>
        <w:t xml:space="preserve">, </w:t>
      </w:r>
      <w:r>
        <w:rPr>
          <w:rFonts w:eastAsia="Times New Roman"/>
          <w:bCs/>
          <w:sz w:val="28"/>
          <w:szCs w:val="28"/>
        </w:rPr>
        <w:t xml:space="preserve">Пр</w:t>
      </w:r>
      <w:r>
        <w:rPr>
          <w:rFonts w:eastAsia="Times New Roman"/>
          <w:bCs/>
          <w:sz w:val="28"/>
          <w:szCs w:val="28"/>
        </w:rPr>
        <w:t xml:space="preserve">иказа Минфина РФ от 01.12.2010 № 157н в части списание сумм субсидий на текущие расходы по объектам имеющие признаки основных средств. </w:t>
      </w:r>
      <w:r>
        <w:rPr>
          <w:rFonts w:eastAsia="Times New Roman"/>
          <w:bCs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</w:t>
      </w:r>
      <w:r>
        <w:rPr>
          <w:sz w:val="28"/>
          <w:szCs w:val="28"/>
        </w:rPr>
        <w:t xml:space="preserve">тое место занимают нарушения, выразившиеся в неэффективном испо</w:t>
      </w:r>
      <w:r>
        <w:rPr>
          <w:sz w:val="28"/>
          <w:szCs w:val="28"/>
        </w:rPr>
        <w:t xml:space="preserve">льзовании бюджетных средств (0,7</w:t>
      </w:r>
      <w:r>
        <w:rPr>
          <w:sz w:val="28"/>
          <w:szCs w:val="28"/>
        </w:rPr>
        <w:t xml:space="preserve"> %).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неэффективное использование бюджетных средств в настоящее время в нормативных правовых актах не установлена. Но поскольку </w:t>
      </w:r>
      <w:r>
        <w:rPr>
          <w:sz w:val="28"/>
          <w:szCs w:val="28"/>
        </w:rPr>
        <w:t xml:space="preserve">в отдельных случаях неэффективное использование бюджетных средств может повлечь причинение реального ущерба бюджету, контрольно-счетной палатой при проведении всех мероприятий особое внимание уделяется соблюдению подконтрольными объектами данного принципа.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</w:r>
      <w:r>
        <w:rPr>
          <w:color w:val="3366ff"/>
          <w:sz w:val="28"/>
          <w:szCs w:val="28"/>
        </w:rPr>
      </w:r>
    </w:p>
    <w:p>
      <w:pPr>
        <w:pBdr/>
        <w:spacing/>
        <w:ind w:firstLine="142"/>
        <w:jc w:val="center"/>
        <w:rPr/>
      </w:pPr>
      <w:r>
        <w:rPr>
          <w:b/>
          <w:sz w:val="28"/>
          <w:szCs w:val="28"/>
        </w:rPr>
        <w:t xml:space="preserve">2.2.1. Итоги проверки достоверности, полноты и соответствия нормативным требованиям составления и представления бюджетной отчетности главных администр</w:t>
      </w:r>
      <w:r>
        <w:rPr>
          <w:b/>
          <w:sz w:val="28"/>
          <w:szCs w:val="28"/>
        </w:rPr>
        <w:t xml:space="preserve">аторов бюджетных средств за 2024</w:t>
      </w:r>
      <w:r>
        <w:rPr>
          <w:b/>
          <w:sz w:val="28"/>
          <w:szCs w:val="28"/>
        </w:rPr>
        <w:t xml:space="preserve"> год</w:t>
      </w:r>
      <w:r/>
    </w:p>
    <w:p>
      <w:pPr>
        <w:pBdr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проведены в отношении 16 гла</w:t>
      </w:r>
      <w:r>
        <w:rPr>
          <w:sz w:val="28"/>
          <w:szCs w:val="28"/>
        </w:rPr>
        <w:t xml:space="preserve">вных администраторов бюджетных средств. Проверки проведены в соответствии с утвержденной программой. В ходе проведения проверок нарушений достоверности и соответствия нормативным требованиям составления и предоставления бюджетной отчетности не установлено.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2.2.2. Итоги внешней проверки годового отчета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b/>
          <w:sz w:val="28"/>
          <w:szCs w:val="28"/>
        </w:rPr>
        <w:t xml:space="preserve">об исполне</w:t>
      </w:r>
      <w:r>
        <w:rPr>
          <w:b/>
          <w:sz w:val="28"/>
          <w:szCs w:val="28"/>
        </w:rPr>
        <w:t xml:space="preserve">нии бюджета города Орска за 2024</w:t>
      </w:r>
      <w:r>
        <w:rPr>
          <w:b/>
          <w:sz w:val="28"/>
          <w:szCs w:val="28"/>
        </w:rPr>
        <w:t xml:space="preserve"> год</w:t>
      </w:r>
      <w:r/>
    </w:p>
    <w:p>
      <w:pPr>
        <w:pBdr/>
        <w:spacing/>
        <w:ind w:firstLine="709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Bdr/>
        <w:spacing w:line="276" w:lineRule="auto"/>
        <w:ind w:firstLine="720"/>
        <w:jc w:val="both"/>
        <w:rPr/>
      </w:pPr>
      <w:r>
        <w:rPr>
          <w:sz w:val="28"/>
          <w:szCs w:val="28"/>
        </w:rPr>
        <w:t xml:space="preserve">В рамках осуществления последующего контроля Контрольно-счётной палатой города Орска проведена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внешняя проверка годового отчета об</w:t>
      </w:r>
      <w:r>
        <w:rPr>
          <w:sz w:val="28"/>
          <w:szCs w:val="28"/>
        </w:rPr>
        <w:t xml:space="preserve"> исполнении бюджета города Орска, которая основана на заключениях, сделанных по результатам проверки форм годовой бюджетной отчетности муниципального образования и результатах проверки годовой бюджетной отчетности главных администраторов бюджетных средств.</w:t>
      </w:r>
      <w:r/>
    </w:p>
    <w:p>
      <w:pPr>
        <w:pBdr/>
        <w:spacing w:line="276" w:lineRule="auto"/>
        <w:ind w:firstLine="720"/>
        <w:jc w:val="both"/>
        <w:rPr/>
      </w:pPr>
      <w:r>
        <w:rPr>
          <w:sz w:val="28"/>
          <w:szCs w:val="28"/>
        </w:rPr>
        <w:t xml:space="preserve">Проверкой установлено:</w:t>
      </w:r>
      <w:r/>
    </w:p>
    <w:p>
      <w:pPr>
        <w:pBdr/>
        <w:spacing w:line="276" w:lineRule="auto"/>
        <w:ind w:firstLine="720"/>
        <w:jc w:val="both"/>
        <w:rPr>
          <w:highlight w:val="yellow"/>
        </w:rPr>
      </w:pP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1. </w:t>
      </w:r>
      <w:r>
        <w:rPr>
          <w:rFonts w:eastAsia="Times New Roman CYR"/>
          <w:sz w:val="28"/>
          <w:szCs w:val="28"/>
        </w:rPr>
        <w:t xml:space="preserve">При годовых плановых доходах, утвержденных ре</w:t>
      </w:r>
      <w:r>
        <w:rPr>
          <w:rFonts w:eastAsia="Times New Roman CYR"/>
          <w:sz w:val="28"/>
          <w:szCs w:val="28"/>
        </w:rPr>
        <w:t xml:space="preserve">шением</w:t>
      </w:r>
      <w:r>
        <w:rPr>
          <w:rFonts w:eastAsia="Times New Roman CYR"/>
          <w:sz w:val="28"/>
          <w:szCs w:val="28"/>
        </w:rPr>
        <w:br/>
      </w:r>
      <w:r>
        <w:rPr>
          <w:rFonts w:eastAsia="Times New Roman CYR"/>
          <w:sz w:val="28"/>
          <w:szCs w:val="28"/>
        </w:rPr>
        <w:t xml:space="preserve">«О бюджете города на 2024 год и плановый период 2025 и 2026</w:t>
      </w:r>
      <w:r>
        <w:rPr>
          <w:rFonts w:eastAsia="Times New Roman CYR"/>
          <w:sz w:val="28"/>
          <w:szCs w:val="28"/>
        </w:rPr>
        <w:t xml:space="preserve"> годов»</w:t>
      </w:r>
      <w:r>
        <w:rPr>
          <w:rFonts w:eastAsia="Times New Roman CYR"/>
          <w:color w:val="3366ff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</w:rPr>
        <w:t xml:space="preserve">9 064 804,1</w:t>
      </w:r>
      <w:r>
        <w:rPr>
          <w:rFonts w:eastAsia="Times New Roman"/>
          <w:sz w:val="28"/>
          <w:szCs w:val="28"/>
        </w:rPr>
        <w:t xml:space="preserve"> тыс. руб., доходная часть бюджет</w:t>
      </w:r>
      <w:r>
        <w:rPr>
          <w:rFonts w:eastAsia="Times New Roman"/>
          <w:sz w:val="28"/>
          <w:szCs w:val="28"/>
        </w:rPr>
        <w:t xml:space="preserve">а фактически исполнена в сумме 10 286 440,5</w:t>
      </w:r>
      <w:r>
        <w:rPr>
          <w:rFonts w:eastAsia="Times New Roman"/>
          <w:sz w:val="28"/>
          <w:szCs w:val="28"/>
        </w:rPr>
        <w:t xml:space="preserve"> тыс. руб., </w:t>
      </w:r>
      <w:r>
        <w:rPr>
          <w:rFonts w:eastAsia="Times New Roman"/>
          <w:sz w:val="28"/>
          <w:szCs w:val="28"/>
        </w:rPr>
        <w:t xml:space="preserve">или на 113,5</w:t>
      </w:r>
      <w:r>
        <w:rPr>
          <w:rFonts w:eastAsia="Times New Roman"/>
          <w:sz w:val="28"/>
          <w:szCs w:val="28"/>
        </w:rPr>
        <w:t xml:space="preserve"> %. </w:t>
      </w:r>
      <w:r>
        <w:rPr>
          <w:rFonts w:eastAsia="Times New Roman CYR"/>
          <w:sz w:val="28"/>
          <w:szCs w:val="28"/>
        </w:rPr>
        <w:t xml:space="preserve">Фактическое п</w:t>
      </w:r>
      <w:r>
        <w:rPr>
          <w:rFonts w:eastAsia="Times New Roman CYR"/>
          <w:sz w:val="28"/>
          <w:szCs w:val="28"/>
        </w:rPr>
        <w:t xml:space="preserve">оступление доходов сложилось выш</w:t>
      </w:r>
      <w:r>
        <w:rPr>
          <w:rFonts w:eastAsia="Times New Roman CYR"/>
          <w:sz w:val="28"/>
          <w:szCs w:val="28"/>
        </w:rPr>
        <w:t xml:space="preserve">е планового показателя на </w:t>
      </w:r>
      <w:r>
        <w:rPr>
          <w:rFonts w:eastAsia="Times New Roman CYR"/>
          <w:sz w:val="28"/>
          <w:szCs w:val="28"/>
        </w:rPr>
        <w:t xml:space="preserve">1 221 636,4</w:t>
      </w:r>
      <w:r>
        <w:rPr>
          <w:rFonts w:eastAsia="Times New Roman CYR"/>
          <w:b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тыс. руб. </w:t>
      </w:r>
      <w:r>
        <w:rPr>
          <w:highlight w:val="yellow"/>
        </w:rPr>
      </w:r>
    </w:p>
    <w:p>
      <w:pPr>
        <w:widowControl w:val="true"/>
        <w:pBdr/>
        <w:spacing w:line="276" w:lineRule="auto"/>
        <w:ind w:firstLine="720"/>
        <w:jc w:val="both"/>
        <w:rPr/>
      </w:pPr>
      <w:r>
        <w:rPr>
          <w:rFonts w:eastAsia="Times New Roman CYR"/>
          <w:sz w:val="28"/>
          <w:szCs w:val="28"/>
        </w:rPr>
        <w:t xml:space="preserve">Денежные средства бюджета формируются по группам доходов такие как: налоговые и неналоговые доходы, безвозмездные поступления.</w:t>
      </w:r>
      <w:r/>
    </w:p>
    <w:p>
      <w:pPr>
        <w:widowControl w:val="true"/>
        <w:pBdr/>
        <w:spacing w:line="276" w:lineRule="auto"/>
        <w:ind w:firstLine="720"/>
        <w:jc w:val="both"/>
        <w:rPr/>
      </w:pPr>
      <w:r>
        <w:rPr>
          <w:rFonts w:eastAsia="Times New Roman CYR"/>
          <w:sz w:val="28"/>
          <w:szCs w:val="28"/>
        </w:rPr>
        <w:t xml:space="preserve">Доля в общих доходах бюджета составляет:</w:t>
      </w:r>
      <w:r/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 CYR"/>
          <w:sz w:val="28"/>
          <w:szCs w:val="28"/>
        </w:rPr>
        <w:t xml:space="preserve">-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налоговые доходы – 27,3</w:t>
      </w:r>
      <w:r>
        <w:rPr>
          <w:rFonts w:eastAsia="Times New Roman"/>
          <w:sz w:val="28"/>
          <w:szCs w:val="28"/>
        </w:rPr>
        <w:t xml:space="preserve">%;</w:t>
      </w:r>
      <w:r/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  <w:t xml:space="preserve">неналоговые доходы – 2,6</w:t>
      </w:r>
      <w:r>
        <w:rPr>
          <w:rFonts w:eastAsia="Times New Roman"/>
          <w:sz w:val="28"/>
          <w:szCs w:val="28"/>
        </w:rPr>
        <w:t xml:space="preserve">%;</w:t>
      </w:r>
      <w:r/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  <w:t xml:space="preserve">безвозмездные поступления – 70,1</w:t>
      </w:r>
      <w:r>
        <w:rPr>
          <w:rFonts w:eastAsia="Times New Roman"/>
          <w:sz w:val="28"/>
          <w:szCs w:val="28"/>
        </w:rPr>
        <w:t xml:space="preserve">%.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pacing w:line="276" w:lineRule="auto"/>
        <w:ind w:firstLine="720"/>
        <w:jc w:val="both"/>
        <w:rPr>
          <w:highlight w:val="yellow"/>
        </w:rPr>
      </w:pPr>
      <w:r>
        <w:rPr>
          <w:rFonts w:eastAsia="Times New Roman CYR"/>
          <w:b/>
          <w:bCs/>
          <w:sz w:val="28"/>
          <w:szCs w:val="28"/>
        </w:rPr>
        <w:t xml:space="preserve">Структура поступлений дохо</w:t>
      </w:r>
      <w:r>
        <w:rPr>
          <w:rFonts w:eastAsia="Times New Roman CYR"/>
          <w:b/>
          <w:bCs/>
          <w:sz w:val="28"/>
          <w:szCs w:val="28"/>
        </w:rPr>
        <w:t xml:space="preserve">дов в бюджет города Орска в 2024</w:t>
      </w:r>
      <w:r>
        <w:rPr>
          <w:rFonts w:eastAsia="Times New Roman CYR"/>
          <w:b/>
          <w:bCs/>
          <w:sz w:val="28"/>
          <w:szCs w:val="28"/>
        </w:rPr>
        <w:t xml:space="preserve"> году представлена на диаграмме:</w:t>
      </w:r>
      <w:r>
        <w:rPr>
          <w:highlight w:val="yellow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color w:val="3366ff"/>
          <w:sz w:val="28"/>
          <w:szCs w:val="28"/>
          <w:highlight w:val="yellow"/>
        </w:rPr>
      </w:pPr>
      <w:r>
        <w:rPr>
          <w:rFonts w:eastAsia="Times New Roman"/>
          <w:color w:val="3366ff"/>
          <w:sz w:val="28"/>
          <w:szCs w:val="28"/>
          <w:lang w:eastAsia="ru-RU"/>
        </w:rPr>
        <w:drawing>
          <wp:inline distT="0" distB="0" distL="0" distR="0">
            <wp:extent cx="5623560" cy="3221355"/>
            <wp:effectExtent l="0" t="0" r="0" b="0"/>
            <wp:docPr id="4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eastAsia="Times New Roman"/>
          <w:color w:val="3366ff"/>
          <w:sz w:val="28"/>
          <w:szCs w:val="28"/>
          <w:highlight w:val="yellow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color w:val="3366ff"/>
          <w:sz w:val="28"/>
          <w:szCs w:val="28"/>
          <w:highlight w:val="yellow"/>
        </w:rPr>
      </w:pPr>
      <w:r>
        <w:rPr>
          <w:rFonts w:eastAsia="Times New Roman"/>
          <w:color w:val="3366ff"/>
          <w:sz w:val="28"/>
          <w:szCs w:val="28"/>
          <w:highlight w:val="yellow"/>
        </w:rPr>
      </w:r>
      <w:r>
        <w:rPr>
          <w:rFonts w:eastAsia="Times New Roman"/>
          <w:color w:val="3366ff"/>
          <w:sz w:val="28"/>
          <w:szCs w:val="28"/>
          <w:highlight w:val="yellow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"/>
          <w:sz w:val="28"/>
          <w:szCs w:val="28"/>
        </w:rPr>
        <w:t xml:space="preserve">2.</w:t>
      </w:r>
      <w:r>
        <w:rPr>
          <w:rFonts w:eastAsia="Times New Roman"/>
          <w:sz w:val="28"/>
          <w:szCs w:val="28"/>
        </w:rPr>
        <w:tab/>
        <w:t xml:space="preserve">Расходная часть бюджета выполнена на </w:t>
      </w:r>
      <w:r>
        <w:rPr>
          <w:sz w:val="28"/>
          <w:szCs w:val="28"/>
        </w:rPr>
        <w:t xml:space="preserve">91,28</w:t>
      </w:r>
      <w:r>
        <w:rPr>
          <w:rFonts w:eastAsia="Times New Roman"/>
          <w:sz w:val="28"/>
          <w:szCs w:val="28"/>
        </w:rPr>
        <w:t xml:space="preserve">%. При утверждении плановых назначений в сумме </w:t>
      </w:r>
      <w:r>
        <w:rPr>
          <w:sz w:val="28"/>
          <w:szCs w:val="28"/>
        </w:rPr>
        <w:t xml:space="preserve">10 865 381,8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тыс. руб. исполнение произведено в сумме </w:t>
      </w:r>
      <w:r>
        <w:rPr>
          <w:sz w:val="28"/>
          <w:szCs w:val="28"/>
        </w:rPr>
        <w:t xml:space="preserve">9 917 426</w:t>
      </w:r>
      <w:r>
        <w:rPr>
          <w:sz w:val="28"/>
          <w:szCs w:val="28"/>
        </w:rPr>
        <w:t xml:space="preserve">,0 </w:t>
      </w:r>
      <w:r>
        <w:rPr>
          <w:rFonts w:eastAsia="Times New Roman"/>
          <w:sz w:val="28"/>
          <w:szCs w:val="28"/>
        </w:rPr>
        <w:t xml:space="preserve">тыс. руб. Невыполнение составляет </w:t>
      </w:r>
      <w:r>
        <w:rPr>
          <w:sz w:val="28"/>
          <w:szCs w:val="28"/>
        </w:rPr>
        <w:t xml:space="preserve">947 955,8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тыс. руб.</w:t>
      </w:r>
      <w:r/>
    </w:p>
    <w:p>
      <w:pPr>
        <w:widowControl w:val="true"/>
        <w:pBdr/>
        <w:tabs>
          <w:tab w:val="left" w:leader="none" w:pos="960"/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"/>
          <w:sz w:val="28"/>
          <w:szCs w:val="28"/>
        </w:rPr>
        <w:t xml:space="preserve">3.</w:t>
      </w:r>
      <w:r>
        <w:rPr>
          <w:rFonts w:eastAsia="Times New Roman"/>
          <w:sz w:val="28"/>
          <w:szCs w:val="28"/>
        </w:rPr>
        <w:tab/>
        <w:t xml:space="preserve">Показатели сводной бюджетной росписи соответствуют показателям, представленным в годовой бюджетной отчетности об исполнении бюджета муниципального </w:t>
      </w:r>
      <w:r>
        <w:rPr>
          <w:rFonts w:eastAsia="Times New Roman"/>
          <w:sz w:val="28"/>
          <w:szCs w:val="28"/>
        </w:rPr>
        <w:t xml:space="preserve">образования «Город Орск» за 2024</w:t>
      </w:r>
      <w:r>
        <w:rPr>
          <w:rFonts w:eastAsia="Times New Roman"/>
          <w:sz w:val="28"/>
          <w:szCs w:val="28"/>
        </w:rPr>
        <w:t xml:space="preserve"> год.</w:t>
      </w:r>
      <w:r/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/>
      </w:pPr>
      <w:r>
        <w:rPr>
          <w:rFonts w:eastAsia="Times New Roman"/>
          <w:sz w:val="28"/>
          <w:szCs w:val="28"/>
        </w:rPr>
        <w:t xml:space="preserve">Показатели сводной бюджетной росписи соответствуют показателям, утвержденным решением о бюджете с учетом распоряжений (приказов) МУ «Финансовое управление администрации города Орска», принятых в соответствии со статьей 217 Бюджетного кодекса РФ.</w:t>
      </w:r>
      <w:r/>
    </w:p>
    <w:p>
      <w:pPr>
        <w:pBdr/>
        <w:tabs>
          <w:tab w:val="left" w:leader="none" w:pos="9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Лимиты бюджетных обязательств утверждены МУ «Финансовое </w:t>
      </w:r>
      <w:r>
        <w:rPr>
          <w:rFonts w:eastAsia="Times New Roman"/>
          <w:sz w:val="28"/>
          <w:szCs w:val="28"/>
        </w:rPr>
        <w:t xml:space="preserve">управление администрации города Орска» в сумме 10 834 314,1 тыс. руб. или на 99,71 % от утвержденных бюджетных назначений (10 865 381,8 тыс. руб.).</w:t>
      </w:r>
      <w:r>
        <w:rPr>
          <w:rFonts w:eastAsia="Times New Roman"/>
          <w:sz w:val="28"/>
          <w:szCs w:val="28"/>
        </w:rPr>
      </w:r>
    </w:p>
    <w:p>
      <w:pPr>
        <w:pBdr/>
        <w:tabs>
          <w:tab w:val="left" w:leader="none" w:pos="960"/>
        </w:tabs>
        <w:spacing w:line="276" w:lineRule="auto"/>
        <w:ind w:firstLine="72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5.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Кассовые доходы, расходы бюджета и источники финансирования дефицита бюджета соответствуют бюджетному учету МУ «Финансовое управление администрации города Орска» и сводной бюджетной росписи.</w:t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 w:line="276" w:lineRule="auto"/>
        <w:ind w:firstLine="720"/>
        <w:jc w:val="both"/>
        <w:rPr>
          <w:rFonts w:ascii="Times New Roman CYR" w:hAnsi="Times New Roman CYR" w:eastAsia="Times New Roman CYR" w:cs="Times New Roman CYR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 xml:space="preserve">6.</w:t>
      </w:r>
      <w:r>
        <w:rPr>
          <w:rFonts w:ascii="Times New Roman CYR" w:hAnsi="Times New Roman CYR" w:eastAsia="Times New Roman CYR" w:cs="Times New Roman CYR"/>
          <w:sz w:val="28"/>
          <w:szCs w:val="28"/>
        </w:rPr>
        <w:tab/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Плановый дефицит бюджета определен в размере 463 618,7 тыс. руб. Фактический профицит составил 369 014,5 тыс. руб.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yellow"/>
        </w:rPr>
      </w:r>
    </w:p>
    <w:p>
      <w:pPr>
        <w:widowControl w:val="true"/>
        <w:pBdr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Отраженные в годо</w:t>
      </w:r>
      <w:r>
        <w:rPr>
          <w:rFonts w:eastAsia="Times New Roman"/>
          <w:sz w:val="28"/>
          <w:szCs w:val="28"/>
        </w:rPr>
        <w:t xml:space="preserve">вой бюджетной отчетности на 2024</w:t>
      </w:r>
      <w:r>
        <w:rPr>
          <w:rFonts w:eastAsia="Times New Roman"/>
          <w:sz w:val="28"/>
          <w:szCs w:val="28"/>
        </w:rPr>
        <w:t xml:space="preserve"> год назначения по расходам исполнены на 100,00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% по раз</w:t>
      </w:r>
      <w:r>
        <w:rPr>
          <w:rFonts w:eastAsia="Times New Roman"/>
          <w:sz w:val="28"/>
          <w:szCs w:val="28"/>
        </w:rPr>
        <w:t xml:space="preserve">делу 12</w:t>
      </w:r>
      <w:r>
        <w:rPr>
          <w:rFonts w:eastAsia="Times New Roman"/>
          <w:sz w:val="28"/>
          <w:szCs w:val="28"/>
        </w:rPr>
        <w:t xml:space="preserve">00 «Средства массовой информации».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целом, выше среднего (98,00 %) процента исполнения бюджета исполнено расходных обязательств по разделу 0300 «Национальная безопасность и правоох</w:t>
      </w:r>
      <w:r>
        <w:rPr>
          <w:rFonts w:eastAsia="Times New Roman"/>
          <w:sz w:val="28"/>
          <w:szCs w:val="28"/>
        </w:rPr>
        <w:t xml:space="preserve">ранительная деятельность» – 99,</w:t>
      </w:r>
      <w:r>
        <w:rPr>
          <w:rFonts w:eastAsia="Times New Roman"/>
          <w:sz w:val="28"/>
          <w:szCs w:val="28"/>
        </w:rPr>
        <w:t xml:space="preserve">6</w:t>
      </w:r>
      <w:r>
        <w:rPr>
          <w:rFonts w:eastAsia="Times New Roman"/>
          <w:sz w:val="28"/>
          <w:szCs w:val="28"/>
        </w:rPr>
        <w:t xml:space="preserve">9</w:t>
      </w:r>
      <w:r>
        <w:rPr>
          <w:rFonts w:eastAsia="Times New Roman"/>
          <w:sz w:val="28"/>
          <w:szCs w:val="28"/>
        </w:rPr>
        <w:t xml:space="preserve"> %.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Исполнено ниже среднего процента исполнения бюджета по следующим разделам: 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0100 «Общегосударственные вопросы» – 92,43 %;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0400 «Национальная экономика» – 94,77 %;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0500 «Жилищно-коммунальное хозяйство» – 78,81 %;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0700 «Образование» – 96,35 %;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0800 «Культура, кинематография» – 96,20 %;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10 00 «Социальная политика» – 85,48 %;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1100 «Физическая культура и спорт» – 92,01 %;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1300 «Обслуживание государственного и муниципального долга» – 65,03 %.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 итогам проверок годовой бюджетной отчетности главных адм</w:t>
      </w:r>
      <w:r>
        <w:rPr>
          <w:rFonts w:eastAsia="Times New Roman"/>
          <w:sz w:val="28"/>
          <w:szCs w:val="28"/>
        </w:rPr>
        <w:t xml:space="preserve">инистраторов бюджетных средств К</w:t>
      </w:r>
      <w:r>
        <w:rPr>
          <w:rFonts w:eastAsia="Times New Roman"/>
          <w:sz w:val="28"/>
          <w:szCs w:val="28"/>
        </w:rPr>
        <w:t xml:space="preserve">онтрольно – счетная палата города Орска отмечает следующее: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све</w:t>
      </w:r>
      <w:r>
        <w:rPr>
          <w:rFonts w:eastAsia="Times New Roman"/>
          <w:sz w:val="28"/>
          <w:szCs w:val="28"/>
        </w:rPr>
        <w:t xml:space="preserve">рке показателей отчета об исполнении бюджета города, представленного финансовым органом по форме 0503317 с показателями сводных консолидированных бюджетных отчетов главных распорядителей средств городского бюджета форма 0503127 расхождений не установлено. 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Показатели отчета об исполнении бюджета города, предста</w:t>
      </w:r>
      <w:r>
        <w:rPr>
          <w:rFonts w:eastAsia="Times New Roman"/>
          <w:sz w:val="28"/>
          <w:szCs w:val="28"/>
        </w:rPr>
        <w:t xml:space="preserve">вленного МУ «Финансовое управление администрации города Орска», по форме 0503169 «Сведения по дебиторской и кредиторской задолженности» соответствуют данным, отраженным в сводных консолидированных бюджетных отчетах главных распорядителей бюджетных средств.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tabs>
          <w:tab w:val="left" w:leader="none" w:pos="993"/>
        </w:tabs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 реализацию городских инвестиций в бюджете 2024 года были предусмотрены капитальные вложения в сумме 189 064,2 тыс. руб., исполнение составило 160 425,0 тыс. руб. или 84,85 %.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tabs>
          <w:tab w:val="left" w:leader="none" w:pos="1134"/>
        </w:tabs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Плановые ассигнования </w:t>
      </w:r>
      <w:r>
        <w:rPr>
          <w:rFonts w:eastAsia="Times New Roman"/>
          <w:sz w:val="28"/>
          <w:szCs w:val="28"/>
        </w:rPr>
        <w:t xml:space="preserve">на исполнение публичных нормативных обязательств утверждены в сумме 56 303,4 тыс. руб., расходы исполнены в сумме 60 177,0 тыс. руб. (или на 93,56 %) в соответствии с фактическими заявками. Не исполнено назначений по ассигнованиям в сумме 3 873,6 тыс. руб.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tabs>
          <w:tab w:val="left" w:leader="none" w:pos="1134"/>
        </w:tabs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</w:t>
      </w:r>
      <w:r>
        <w:rPr>
          <w:rFonts w:eastAsia="Times New Roman"/>
          <w:sz w:val="28"/>
          <w:szCs w:val="28"/>
        </w:rPr>
        <w:t xml:space="preserve">1.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Фактические расходы на обслуживание муниципального внутреннего долга произведены (с учетом уточнений бюджета) в размере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275</w:t>
      </w:r>
      <w:r>
        <w:rPr>
          <w:rFonts w:eastAsia="Times New Roman"/>
          <w:sz w:val="28"/>
          <w:szCs w:val="28"/>
        </w:rPr>
        <w:t xml:space="preserve">,4 тыс. руб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tabs>
          <w:tab w:val="left" w:leader="none" w:pos="1134"/>
        </w:tabs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Бюджетом 2024 года предусмотрены ассигнования на исполнение 16 муниципальных программ в размере 10 808 664,2 тыс. руб., что составляет 99,48 % общего объема расходов местного бюджета. 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spacing w:line="276" w:lineRule="auto"/>
        <w:ind w:right="53" w:firstLine="709" w:lef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Кассовые расходы произведены в размере 9 863 853,5 тыс. руб. (не исполнено 944 810,7 тыс. руб.), исполнение бюджетных назначений составило 91,26 %.</w:t>
      </w:r>
      <w:r>
        <w:rPr>
          <w:rFonts w:eastAsia="Times New Roman"/>
          <w:sz w:val="28"/>
          <w:szCs w:val="28"/>
        </w:rPr>
      </w:r>
    </w:p>
    <w:p>
      <w:pPr>
        <w:widowControl w:val="true"/>
        <w:pBdr/>
        <w:shd w:val="clear" w:color="auto" w:fill="ffffff"/>
        <w:spacing w:line="276" w:lineRule="auto"/>
        <w:ind w:right="53" w:firstLine="709" w:left="29"/>
        <w:jc w:val="both"/>
        <w:rPr/>
      </w:pPr>
      <w:r>
        <w:rPr>
          <w:sz w:val="28"/>
          <w:szCs w:val="28"/>
        </w:rPr>
        <w:t xml:space="preserve">Основной вывод Контрольно-счётной палаты города Орска по результатам внешней проверки годового отчета об и</w:t>
      </w:r>
      <w:r>
        <w:rPr>
          <w:sz w:val="28"/>
          <w:szCs w:val="28"/>
        </w:rPr>
        <w:t xml:space="preserve">сполнении городского бюджета заключается в том, что отчет сформирован в соответствии с требованиями бюджетного законодательства, и показатели годового отчета в целом соответствуют показателям бюджетной отчетности главных администраторов бюджетных средств. </w:t>
      </w:r>
      <w:r/>
    </w:p>
    <w:p>
      <w:pPr>
        <w:pBdr/>
        <w:spacing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2.2.3. Оперативный анализ исполнения бюджета города Орска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20"/>
        <w:jc w:val="both"/>
        <w:rPr/>
      </w:pPr>
      <w:r/>
      <w:r/>
    </w:p>
    <w:p>
      <w:pPr>
        <w:pBdr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Контрольно-счетная палата города Орска в отчетном году, как и в предыдущие годы ежеквартально осуществляла оперативный (текущий) контроль исполнения бюджета, реализуемый в форме еже</w:t>
      </w:r>
      <w:r>
        <w:rPr>
          <w:bCs/>
          <w:sz w:val="28"/>
          <w:szCs w:val="28"/>
        </w:rPr>
        <w:t xml:space="preserve">квартального мониторинга исполнения бюджета города. В ходе мониторинга исполнения бюджета анализировалось текущее исполнение доходной и расходной части бюджета, а также проводился анализ динамики параметров бюджета в сравнении с утвержденными показателями.</w:t>
      </w:r>
      <w:r>
        <w:rPr>
          <w:bCs/>
          <w:sz w:val="28"/>
          <w:szCs w:val="28"/>
        </w:rPr>
      </w:r>
    </w:p>
    <w:p>
      <w:pPr>
        <w:pBdr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 итогам экспертно-аналитических мероприятий Контрольно-счетной палатой города Орска были сформированы аналитические записки по динамике и структуре расходования средств бюджета города, поступлений налоговых и неналоговых доходов, межбюджетных трансфертов.</w:t>
      </w:r>
      <w:r>
        <w:rPr>
          <w:bCs/>
          <w:sz w:val="28"/>
          <w:szCs w:val="28"/>
        </w:rPr>
      </w:r>
    </w:p>
    <w:p>
      <w:pPr>
        <w:pBdr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оперативного анализа исполнения бюджета города Орска за первый квартал, I полугодие и </w:t>
      </w:r>
      <w:r>
        <w:rPr>
          <w:bCs/>
          <w:sz w:val="28"/>
          <w:szCs w:val="28"/>
        </w:rPr>
        <w:t xml:space="preserve">9 месяцев 2025</w:t>
      </w:r>
      <w:r>
        <w:rPr>
          <w:bCs/>
          <w:sz w:val="28"/>
          <w:szCs w:val="28"/>
        </w:rPr>
        <w:t xml:space="preserve"> года направлялись в Орский городской Совет депутатов. </w:t>
      </w:r>
      <w:r>
        <w:rPr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pP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pP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pP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  <w:r>
        <w:rPr>
          <w:rFonts w:ascii="Times New Roman CYR" w:hAnsi="Times New Roman CYR" w:eastAsia="Times New Roman CYR" w:cs="Times New Roman CYR"/>
          <w:b/>
          <w:color w:val="3366ff"/>
          <w:sz w:val="28"/>
          <w:szCs w:val="28"/>
          <w:highlight w:val="yellow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Совместные контрольные мероприятия</w:t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/>
      </w:pPr>
      <w:r/>
      <w:r/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о взаимодействии между Контрольно-сче</w:t>
      </w:r>
      <w:r>
        <w:rPr>
          <w:sz w:val="28"/>
          <w:szCs w:val="28"/>
        </w:rPr>
        <w:t xml:space="preserve">тной палатой города Орска и прокуратурой Ленинского района города Орска от 30 января 2009 года, плана работы межведомственной рабочей группы по противодействию коррупции утвержденным прокурором Ленинского района, Соглашения между прокуратурой Октябрьского </w:t>
      </w:r>
      <w:r>
        <w:rPr>
          <w:sz w:val="28"/>
          <w:szCs w:val="28"/>
        </w:rPr>
        <w:t xml:space="preserve">района г. Орска, Советского района города Орска и Контрольно-счетной палатой города Орска о сотрудничестве и взаимодействии, должностными лицами Контрольно-счетной палаты города Орска проводились  совместные проверки с сотрудниками прокуратур города Орска.</w:t>
      </w:r>
      <w:r>
        <w:rPr>
          <w:sz w:val="28"/>
          <w:szCs w:val="28"/>
        </w:rPr>
      </w:r>
    </w:p>
    <w:p>
      <w:pPr>
        <w:widowControl w:val="true"/>
        <w:pBdr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Контрольно-счётная палата</w:t>
      </w:r>
      <w:r>
        <w:rPr>
          <w:rFonts w:eastAsia="Times New Roman"/>
          <w:sz w:val="28"/>
          <w:szCs w:val="28"/>
          <w:lang w:eastAsia="en-US"/>
        </w:rPr>
        <w:t xml:space="preserve"> города Орска</w:t>
      </w:r>
      <w:r>
        <w:rPr>
          <w:rFonts w:eastAsia="Times New Roman"/>
          <w:sz w:val="28"/>
          <w:szCs w:val="28"/>
          <w:lang w:eastAsia="en-US"/>
        </w:rPr>
        <w:t xml:space="preserve"> принимает необходимые меры, направленные на устранение нарушений федеральных и областных законов, муниципальных нормативных правовых актов.</w:t>
      </w:r>
      <w:r>
        <w:rPr>
          <w:rFonts w:eastAsia="Times New Roman"/>
          <w:sz w:val="28"/>
          <w:szCs w:val="28"/>
          <w:lang w:eastAsia="en-US"/>
        </w:rPr>
      </w:r>
    </w:p>
    <w:p>
      <w:pPr>
        <w:widowControl w:val="true"/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</w:t>
      </w:r>
      <w:r>
        <w:rPr>
          <w:sz w:val="28"/>
          <w:szCs w:val="28"/>
        </w:rPr>
        <w:t xml:space="preserve"> с Прокуратурой </w:t>
      </w:r>
      <w:r>
        <w:rPr>
          <w:sz w:val="28"/>
          <w:szCs w:val="28"/>
        </w:rPr>
        <w:t xml:space="preserve">Октябрьского района г. Орска</w:t>
      </w:r>
      <w:r>
        <w:rPr>
          <w:sz w:val="28"/>
          <w:szCs w:val="28"/>
        </w:rPr>
        <w:t xml:space="preserve"> в отчетном периоде проведены следующие контрольные мероприятия:</w:t>
      </w:r>
      <w:r>
        <w:rPr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мероприятий, предусмотренных инвестиционной программой общества с ограниченной ответственностью «РВК-Орск» по развитию системы водоснабжения и водоотведения муниципального образования «Город Орск» на</w:t>
      </w:r>
      <w:r>
        <w:rPr>
          <w:sz w:val="28"/>
          <w:szCs w:val="28"/>
        </w:rPr>
        <w:t xml:space="preserve"> 2021-2035 годы и соблюдения условий концессионного соглашения, заключенного между Муниципальным образованием «Город Орск» Оренбургской области, Обществом с ограниченной ответственностью «РВК-Орск» и субъектом Российской Федерации – Оренбургской областью. </w:t>
      </w:r>
      <w:r>
        <w:rPr>
          <w:sz w:val="28"/>
          <w:szCs w:val="28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right="-1" w:firstLine="566" w:lef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Целевое расходование</w:t>
      </w:r>
      <w:r>
        <w:rPr>
          <w:rFonts w:eastAsia="Calibri"/>
          <w:sz w:val="28"/>
          <w:szCs w:val="28"/>
          <w:lang w:eastAsia="en-US"/>
        </w:rPr>
        <w:t xml:space="preserve"> ООО «УК «Ленком» денежных средств собственников помещений в многоквартирном доме, расположенном по адресу: г. Орск, пер. Цимлянский, д. №19 за период с 01.01.2023г. по 30.06.2025г.        </w:t>
      </w:r>
      <w:r>
        <w:rPr>
          <w:rFonts w:eastAsia="Calibri"/>
          <w:sz w:val="28"/>
          <w:szCs w:val="28"/>
          <w:lang w:eastAsia="en-US"/>
        </w:rPr>
      </w:r>
    </w:p>
    <w:p>
      <w:pPr>
        <w:widowControl w:val="true"/>
        <w:pBdr/>
        <w:tabs>
          <w:tab w:val="left" w:leader="none" w:pos="993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роверка документации в рамках исполнения договора № б/н от 20.11.2024г.</w:t>
      </w:r>
      <w:r>
        <w:rPr>
          <w:sz w:val="28"/>
          <w:szCs w:val="28"/>
        </w:rPr>
        <w:t xml:space="preserve"> заключенного между </w:t>
      </w:r>
      <w:r>
        <w:rPr>
          <w:sz w:val="28"/>
          <w:szCs w:val="28"/>
        </w:rPr>
        <w:t xml:space="preserve">МАУДО «СШ «Свобода» г. Орска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ООО «ГИДРОМОНОЛИТСТРОЙ» на проведение аварийно-восстановительных работ имущественных объектов МАУДО «СШ «Свобода» г. Орска попавших в зону подтопления на предмет целевого использования бюджетных средств.</w:t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/>
      </w:pP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Всего в отчетном периоде контрольно-счетной палатой по результатам контрольных мероприятий в адрес объектов контроля было направ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лено 6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представлений содержащие требования об устранении нарушений и недостатков, а также рекомендации по применению мер для пресечения и предупреждения нарушений. Предписания в адрес объектов контроля, содержащих требования о принятии безотлагательных мер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по пресечению 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нарушений в 2025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году, не выносились. </w:t>
      </w:r>
      <w:r/>
    </w:p>
    <w:p>
      <w:pPr>
        <w:pBdr/>
        <w:spacing w:line="276" w:lineRule="auto"/>
        <w:ind w:firstLine="708"/>
        <w:jc w:val="both"/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На основании представлений Контрольно-счетной палаты, внесенных в отчетном периоде устранены нарушения порядка ведения бухгалтерского учета и прочих нарушений на сумму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219 023,7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тыс. рублей, в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бюджет города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было возмещено 10,7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тыс. рублей.  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708"/>
        <w:jc w:val="both"/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За отчетный период в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органы прокуратуры направлено 6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материалов. По результатам рассмотрения материалов контрольных мероприятий решений о мерах прокурорского реагирования принято не было.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708"/>
        <w:jc w:val="both"/>
        <w:rPr/>
      </w:pP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По результатам рассмотрения одного протокола направленного контрольно-счетной палатой города Орска в суд в 2024 году в отчетном периоде одно должностное лицо привлечено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в виде наложения административного штрафа в 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размере 15,0 тыс. рублей. По вышеуказанному протоколу была произведена в 2025 году оплата в размере 15,0 тыс. рублей.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pBdr/>
        <w:spacing/>
        <w:ind w:left="1429"/>
        <w:jc w:val="both"/>
        <w:rPr>
          <w:b/>
          <w:i/>
          <w:color w:val="3366ff"/>
          <w:sz w:val="28"/>
          <w:szCs w:val="28"/>
          <w:highlight w:val="yellow"/>
        </w:rPr>
      </w:pPr>
      <w:r>
        <w:rPr>
          <w:b/>
          <w:i/>
          <w:color w:val="3366ff"/>
          <w:sz w:val="28"/>
          <w:szCs w:val="28"/>
          <w:highlight w:val="yellow"/>
        </w:rPr>
      </w:r>
      <w:r>
        <w:rPr>
          <w:b/>
          <w:i/>
          <w:color w:val="3366ff"/>
          <w:sz w:val="28"/>
          <w:szCs w:val="28"/>
          <w:highlight w:val="yellow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Иная деятельность, информированность и гласность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9"/>
        <w:jc w:val="center"/>
        <w:rPr/>
      </w:pPr>
      <w:r/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</w:t>
      </w:r>
      <w:r>
        <w:rPr>
          <w:sz w:val="28"/>
          <w:szCs w:val="28"/>
        </w:rPr>
        <w:t xml:space="preserve"> году, как и в предыдущие годы, Контрольно-счетная палата города Орска, выполняя полномочия органа внешнего финансового контроля в муниципальном образов</w:t>
      </w:r>
      <w:r>
        <w:rPr>
          <w:sz w:val="28"/>
          <w:szCs w:val="28"/>
        </w:rPr>
        <w:t xml:space="preserve">ании «Город Орск», осуществляла тесное взаимодействие с представительным органом города Орска – Орским городским Советом депутатов, и прежде всего с постоянной депутатской комиссией по бюджету, экономическому развитию, промышленности и сельскому хозяйству.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Гласность является одним из основных принципов деятельности Контрольно-счетной палаты города Орска, закрепленных статьей 4 Федерального закона от 07.02.2011 года № 6-ФЗ.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соответствии с законодательством данный принцип реализован путём представления в Орский городской Совет депутатов годового отчёта о работе Контрольно-счётной палаты города Орска за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год.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марте 2025</w:t>
      </w:r>
      <w:r>
        <w:rPr>
          <w:sz w:val="28"/>
          <w:szCs w:val="28"/>
        </w:rPr>
        <w:t xml:space="preserve"> года председатель Контрольно-счетной палаты города Топорков В.В. представил Орскому городскому Совету депутатов отчет о деятельности К</w:t>
      </w:r>
      <w:r>
        <w:rPr>
          <w:sz w:val="28"/>
          <w:szCs w:val="28"/>
        </w:rPr>
        <w:t xml:space="preserve">онтрольно-счетной палаты за 2024</w:t>
      </w:r>
      <w:r>
        <w:rPr>
          <w:sz w:val="28"/>
          <w:szCs w:val="28"/>
        </w:rPr>
        <w:t xml:space="preserve"> год.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соответствии с требованиями законодательства, отчет</w:t>
      </w:r>
      <w:r>
        <w:t xml:space="preserve"> </w:t>
      </w:r>
      <w:r>
        <w:rPr>
          <w:sz w:val="28"/>
          <w:szCs w:val="28"/>
        </w:rPr>
        <w:t xml:space="preserve">о деятельности Контрольно-сче</w:t>
      </w:r>
      <w:r>
        <w:rPr>
          <w:sz w:val="28"/>
          <w:szCs w:val="28"/>
        </w:rPr>
        <w:t xml:space="preserve">тной палаты города Орска за 2024</w:t>
      </w:r>
      <w:r>
        <w:rPr>
          <w:sz w:val="28"/>
          <w:szCs w:val="28"/>
        </w:rPr>
        <w:t xml:space="preserve"> год был предварительно рассмотрен постоянно действующими комиссиями Орского городского Совета депутатов.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Отчет о работе К</w:t>
      </w:r>
      <w:r>
        <w:rPr>
          <w:sz w:val="28"/>
          <w:szCs w:val="28"/>
        </w:rPr>
        <w:t xml:space="preserve">онтрольно-счетной палаты за 2024</w:t>
      </w:r>
      <w:r>
        <w:rPr>
          <w:sz w:val="28"/>
          <w:szCs w:val="28"/>
        </w:rPr>
        <w:t xml:space="preserve"> год (решение Орского городского Совета депутатов от</w:t>
      </w:r>
      <w:r>
        <w:rPr>
          <w:sz w:val="28"/>
          <w:szCs w:val="28"/>
        </w:rPr>
        <w:t xml:space="preserve"> 26.03.2025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59-633</w:t>
      </w:r>
      <w:r>
        <w:rPr>
          <w:sz w:val="28"/>
          <w:szCs w:val="28"/>
        </w:rPr>
        <w:t xml:space="preserve">) был</w:t>
      </w:r>
      <w:r>
        <w:rPr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 в газете «Орская газета»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02.04.2025 г. №12 (1364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размещен на сайте Контрольно-счетной палаты города Орска.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В целях придания гласности результатам контрольных и экспе</w:t>
      </w:r>
      <w:r>
        <w:rPr>
          <w:sz w:val="28"/>
          <w:szCs w:val="28"/>
        </w:rPr>
        <w:t xml:space="preserve">ртных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доступа к информации о своей деятельности</w:t>
      </w:r>
      <w:r>
        <w:rPr>
          <w:sz w:val="28"/>
          <w:szCs w:val="28"/>
        </w:rPr>
        <w:t xml:space="preserve"> в течение 2025</w:t>
      </w:r>
      <w:r>
        <w:rPr>
          <w:sz w:val="28"/>
          <w:szCs w:val="28"/>
        </w:rPr>
        <w:t xml:space="preserve"> года Контрольно-счетная палата размещала в газете «Орская газета» публикации с информацией о результатах контрольных мероприятий.</w:t>
      </w:r>
      <w:r>
        <w:rPr>
          <w:b/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отметить, что в качестве обеспечения доступа к информ</w:t>
      </w:r>
      <w:r>
        <w:rPr>
          <w:sz w:val="28"/>
          <w:szCs w:val="28"/>
        </w:rPr>
        <w:t xml:space="preserve">ации о своей деятельности и обнародования информации о проведенных контрольных и экспертно-аналитических мероприятиях, о выявленных при их проведении нарушениях, о вынесенных представлениях, а также о принятых по ним решениях и мерах, Контрольно-счетная па</w:t>
      </w:r>
      <w:r>
        <w:rPr>
          <w:sz w:val="28"/>
          <w:szCs w:val="28"/>
        </w:rPr>
        <w:t xml:space="preserve">лата города Орска в течении 2025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регулярно размещала информацию о результатах контрольных и экспертно-аналитических мероприятий, а также об организации деятельности Контрольного органа на официальном сайте Контрольно-счетной палаты города Орска в информационно-телекоммуникационной сети </w:t>
      </w:r>
      <w:r>
        <w:rPr>
          <w:sz w:val="28"/>
          <w:szCs w:val="28"/>
          <w:lang w:val="en-US"/>
        </w:rPr>
        <w:t xml:space="preserve">Internet</w:t>
      </w:r>
      <w:r>
        <w:rPr>
          <w:sz w:val="28"/>
          <w:szCs w:val="28"/>
        </w:rPr>
        <w:t xml:space="preserve">. 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законодательства и общих требований к организации, подгото</w:t>
      </w:r>
      <w:r>
        <w:rPr>
          <w:sz w:val="28"/>
          <w:szCs w:val="28"/>
        </w:rPr>
        <w:t xml:space="preserve">вке и проведению проверок в 2025</w:t>
      </w:r>
      <w:r>
        <w:rPr>
          <w:sz w:val="28"/>
          <w:szCs w:val="28"/>
        </w:rPr>
        <w:t xml:space="preserve"> году сотрудники Контрольно-счетной палаты руководствовались действующими стандартами внешнего муниципального финансового контроля.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</w:t>
      </w:r>
      <w:r>
        <w:rPr>
          <w:sz w:val="28"/>
          <w:szCs w:val="28"/>
        </w:rPr>
        <w:t xml:space="preserve">ральным законом от 07.02.2011г.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6-ФЗ и Положением о контрольно-счё</w:t>
      </w:r>
      <w:r>
        <w:rPr>
          <w:sz w:val="28"/>
          <w:szCs w:val="28"/>
        </w:rPr>
        <w:t xml:space="preserve">тной палате города Орска, утвержденного решением Орского городского Совета депутатов от 23 июля 2020 года № 61-949 (с изменениями) все стандарты внешнего муниципального финансового контроля и методические рекомендации размещены на официальном сайте Контрол</w:t>
      </w:r>
      <w:r>
        <w:rPr>
          <w:sz w:val="28"/>
          <w:szCs w:val="28"/>
        </w:rPr>
        <w:t xml:space="preserve">ьно-счетной палаты города Орска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Для выполнения возложенных функций внешнего финансового контроля в муниципальном образовании «Город Орск» Контрольно-счетная палата города Орска решением о бюджете города определена главным распорядителем бюджетных средств.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На содер</w:t>
      </w:r>
      <w:r>
        <w:rPr>
          <w:sz w:val="28"/>
          <w:szCs w:val="28"/>
        </w:rPr>
        <w:t xml:space="preserve">жание Контрольного органа в 2025 году было предусмотрено 8</w:t>
      </w:r>
      <w:r>
        <w:rPr>
          <w:sz w:val="28"/>
          <w:szCs w:val="28"/>
        </w:rPr>
        <w:t xml:space="preserve">843,3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Фактические расходы составили 8843,0</w:t>
      </w:r>
      <w:r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100,0</w:t>
      </w:r>
      <w:r>
        <w:rPr>
          <w:sz w:val="28"/>
          <w:szCs w:val="28"/>
        </w:rPr>
        <w:t xml:space="preserve">%. </w:t>
      </w:r>
      <w:r/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</w:t>
      </w:r>
      <w:r>
        <w:rPr>
          <w:sz w:val="28"/>
          <w:szCs w:val="28"/>
        </w:rPr>
        <w:t xml:space="preserve">етная палата города Орска в 2025</w:t>
      </w:r>
      <w:r>
        <w:rPr>
          <w:sz w:val="28"/>
          <w:szCs w:val="28"/>
        </w:rPr>
        <w:t xml:space="preserve"> году технически была полностью обеспечена.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/>
      <w:r/>
    </w:p>
    <w:p>
      <w:pPr>
        <w:pBdr/>
        <w:spacing w:line="276" w:lineRule="auto"/>
        <w:ind w:firstLine="709"/>
        <w:jc w:val="both"/>
        <w:rPr/>
      </w:pPr>
      <w:r/>
      <w:r/>
    </w:p>
    <w:p>
      <w:pPr>
        <w:pBdr/>
        <w:spacing w:line="276" w:lineRule="auto"/>
        <w:ind w:firstLine="709"/>
        <w:jc w:val="both"/>
        <w:rPr/>
      </w:pPr>
      <w:r/>
      <w:r/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Кадровое обеспечение</w:t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/>
      </w:pPr>
      <w:r/>
      <w:r/>
    </w:p>
    <w:p>
      <w:pPr>
        <w:pBdr/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В соответствии с требованиями Федерального закона от 2 марта 2007 года №25-ФЗ «О муниципальной службе в Российской Федерации», Закона Оренбургской области от 10 октября 2007 года № 1611/339-IV-ОЗ «О муниципальной службе в Оренбу</w:t>
      </w:r>
      <w:r>
        <w:rPr>
          <w:sz w:val="28"/>
          <w:szCs w:val="28"/>
        </w:rPr>
        <w:t xml:space="preserve">ргской области» в Контрольно-счетной палате города Орска проводилась работа, направленная на повышение профессиональной компетентности, мотивации муниципальных служащих и обеспечение условий для улучшения результативности их профессиональной деятельности. </w:t>
      </w:r>
      <w:r/>
    </w:p>
    <w:p>
      <w:pPr>
        <w:pBdr/>
        <w:spacing w:line="276" w:lineRule="auto"/>
        <w:ind w:firstLine="709"/>
        <w:jc w:val="both"/>
        <w:rPr/>
      </w:pPr>
      <w:r>
        <w:rPr>
          <w:sz w:val="28"/>
          <w:szCs w:val="28"/>
        </w:rPr>
        <w:t xml:space="preserve">Штатная численность Контрольно-счетной палаты города Орска, согласно Решению городского Совета депутатов от 02 декабря 2013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№41-690 «О внесении изменений в решение Орского городского Совета депутатов от 30 ноября 2012г. №28-487 «Об утверждении штатной численности Контрольно-счет</w:t>
      </w:r>
      <w:r>
        <w:rPr>
          <w:sz w:val="28"/>
          <w:szCs w:val="28"/>
        </w:rPr>
        <w:t xml:space="preserve">ной палаты города Орска», в 2025</w:t>
      </w:r>
      <w:r>
        <w:rPr>
          <w:sz w:val="28"/>
          <w:szCs w:val="28"/>
        </w:rPr>
        <w:t xml:space="preserve"> году составила 7 единиц: в том числе лица, замещающие муниципальные должности – 3 единицы, лица, замещающие должности муниципальной службы – 3 единицы, лица, исполняющие обязанности по техническому обеспечению – 1 единица. </w:t>
      </w:r>
      <w:r/>
    </w:p>
    <w:p>
      <w:pPr>
        <w:widowControl w:val="true"/>
        <w:pBdr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повышения</w:t>
      </w:r>
      <w:r>
        <w:rPr>
          <w:rFonts w:eastAsia="Calibri"/>
          <w:sz w:val="28"/>
          <w:szCs w:val="28"/>
        </w:rPr>
        <w:t xml:space="preserve"> профессионального уровня в 2025</w:t>
      </w:r>
      <w:r>
        <w:rPr>
          <w:rFonts w:eastAsia="Calibri"/>
          <w:sz w:val="28"/>
          <w:szCs w:val="28"/>
        </w:rPr>
        <w:t xml:space="preserve"> году аудиторы и инспекторы Контрольно-счетной палаты города Орска </w:t>
      </w:r>
      <w:r>
        <w:rPr>
          <w:rFonts w:eastAsia="Calibri"/>
          <w:sz w:val="28"/>
          <w:szCs w:val="28"/>
        </w:rPr>
        <w:t xml:space="preserve">на постоянной основе принимали участие в круглых столах и вебинарах (в режиме видеоконференцсвязи), организованных Союзом муниципальных контрольно</w:t>
      </w:r>
      <w:r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 xml:space="preserve">счетных органов на актуальные темы по организации и осуществлению внешнего муниципального финансового контроля.</w:t>
      </w:r>
      <w:r>
        <w:rPr>
          <w:rFonts w:eastAsia="Calibri"/>
          <w:sz w:val="28"/>
          <w:szCs w:val="28"/>
        </w:rPr>
      </w:r>
    </w:p>
    <w:p>
      <w:pPr>
        <w:pBdr/>
        <w:spacing/>
        <w:ind w:firstLine="709"/>
        <w:jc w:val="both"/>
        <w:rPr>
          <w:i/>
          <w:color w:val="3366ff"/>
          <w:sz w:val="28"/>
          <w:szCs w:val="28"/>
          <w:highlight w:val="yellow"/>
        </w:rPr>
      </w:pPr>
      <w:r>
        <w:rPr>
          <w:i/>
          <w:color w:val="3366ff"/>
          <w:sz w:val="28"/>
          <w:szCs w:val="28"/>
          <w:highlight w:val="yellow"/>
        </w:rPr>
      </w:r>
      <w:r>
        <w:rPr>
          <w:i/>
          <w:color w:val="3366ff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Взаимодействие с контрольно-счетными органами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b/>
          <w:sz w:val="28"/>
          <w:szCs w:val="28"/>
        </w:rPr>
        <w:t xml:space="preserve">муниципальных образований Оренбургской области</w:t>
      </w:r>
      <w:r/>
    </w:p>
    <w:p>
      <w:pPr>
        <w:pBdr/>
        <w:spacing w:line="276" w:lineRule="auto"/>
        <w:ind w:firstLine="708"/>
        <w:jc w:val="both"/>
        <w:rPr>
          <w:b/>
          <w:i/>
          <w:color w:val="3366ff"/>
          <w:sz w:val="28"/>
          <w:szCs w:val="28"/>
        </w:rPr>
      </w:pPr>
      <w:r>
        <w:rPr>
          <w:b/>
          <w:i/>
          <w:color w:val="3366ff"/>
          <w:sz w:val="28"/>
          <w:szCs w:val="28"/>
        </w:rPr>
      </w:r>
      <w:r>
        <w:rPr>
          <w:b/>
          <w:i/>
          <w:color w:val="3366ff"/>
          <w:sz w:val="28"/>
          <w:szCs w:val="28"/>
        </w:rPr>
      </w:r>
    </w:p>
    <w:p>
      <w:pPr>
        <w:pBdr/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Сложившиеся устойчивые взаимодействие между Контрольно-счетной палатой города Орска и контрольно-счетными органами Оренбург</w:t>
      </w:r>
      <w:r>
        <w:rPr>
          <w:sz w:val="28"/>
          <w:szCs w:val="28"/>
        </w:rPr>
        <w:t xml:space="preserve">ской области продолжились в 2025</w:t>
      </w:r>
      <w:r>
        <w:rPr>
          <w:sz w:val="28"/>
          <w:szCs w:val="28"/>
        </w:rPr>
        <w:t xml:space="preserve"> году в рамках деятельности Совета конт</w:t>
      </w:r>
      <w:r>
        <w:rPr>
          <w:sz w:val="28"/>
          <w:szCs w:val="28"/>
        </w:rPr>
        <w:t xml:space="preserve">рольно-счетных органов Оренбургской области при Счетной палате Оренбургской области, образованного в целях повышения качества контрольной и экспертно-аналитической деятельности, эффективности внешнего государственного и муниципального финансового контроля.</w:t>
      </w:r>
      <w:r/>
    </w:p>
    <w:p>
      <w:pPr>
        <w:pBdr/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Контрольно-счетная палата города Орска, в лице председателя Владислава Валерьевича Топоркова, входит в Президиум Совета контрольно-счетных органов Оренбургской области при Счетной палате Оренбургской области. </w:t>
      </w:r>
      <w:r/>
    </w:p>
    <w:p>
      <w:pPr>
        <w:pBdr/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Учитывая членство в рабочих органах </w:t>
      </w:r>
      <w:r>
        <w:rPr>
          <w:sz w:val="28"/>
          <w:szCs w:val="28"/>
        </w:rPr>
        <w:t xml:space="preserve">Совета контрольно-счетных органов Оренбургской области при Счетной палате Оренбургской области</w:t>
      </w:r>
      <w:r>
        <w:rPr>
          <w:sz w:val="28"/>
          <w:szCs w:val="28"/>
        </w:rPr>
        <w:t xml:space="preserve"> Контрольно-счетной палатой города Орска проводилась большая работа в рамках деятельности Комиссии по совершенствованию внешнего финансового контроля на муниципальном уровне.</w:t>
      </w:r>
      <w:r/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сотрудничества в рамках Совета являются обмен опытом реализации полномочий в области осуществления внешнего государственного и муниципального ф</w:t>
      </w:r>
      <w:r>
        <w:rPr>
          <w:sz w:val="28"/>
          <w:szCs w:val="28"/>
        </w:rPr>
        <w:t xml:space="preserve">инансового контроля; совершенствование планирования и проведения на территории муниципальных образований области совместных и параллельных контрольных и экспертно-аналитических мероприятий; разработка предложений по совершенствованию методологии контрольно</w:t>
      </w:r>
      <w:r>
        <w:rPr>
          <w:sz w:val="28"/>
          <w:szCs w:val="28"/>
        </w:rPr>
        <w:t xml:space="preserve">й и экспертно-аналитической деятельности; оказание Счетной палатой области организационной, правовой, информационной и методической помощи контрольно-счетным органам муниципальных образований области, содействие в повышении квалификации их работников и др.</w:t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онтрольно - счетная палата города Орска продолжила практику проведения </w:t>
      </w:r>
      <w:r>
        <w:rPr>
          <w:sz w:val="28"/>
          <w:szCs w:val="28"/>
        </w:rPr>
        <w:t xml:space="preserve">параллельных мероприятий с муниципальными контрольно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счетными органами области</w:t>
      </w:r>
      <w:r>
        <w:rPr>
          <w:sz w:val="28"/>
          <w:szCs w:val="28"/>
        </w:rPr>
        <w:t xml:space="preserve">. В отчетном году реализовано одно </w:t>
      </w:r>
      <w:r>
        <w:rPr>
          <w:rFonts w:eastAsia="Calibri"/>
          <w:sz w:val="28"/>
          <w:szCs w:val="28"/>
          <w:lang w:eastAsia="en-US"/>
        </w:rPr>
        <w:t xml:space="preserve">экспертно - аналитическое мероприятие с контрольно-счетными органами Оренбургской области по теме «Анализ д</w:t>
      </w:r>
      <w:r>
        <w:rPr>
          <w:rFonts w:eastAsia="Calibri"/>
          <w:sz w:val="28"/>
          <w:szCs w:val="28"/>
          <w:lang w:eastAsia="en-US"/>
        </w:rPr>
        <w:t xml:space="preserve">остаточности и обоснованности объема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на 2025 год и плановый период 2026 и 2027 годы»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pBdr/>
        <w:spacing/>
        <w:ind w:firstLine="708"/>
        <w:jc w:val="both"/>
        <w:rPr>
          <w:i/>
          <w:color w:val="3366ff"/>
          <w:sz w:val="28"/>
          <w:szCs w:val="28"/>
          <w:highlight w:val="yellow"/>
        </w:rPr>
      </w:pPr>
      <w:r>
        <w:rPr>
          <w:i/>
          <w:color w:val="3366ff"/>
          <w:sz w:val="28"/>
          <w:szCs w:val="28"/>
          <w:highlight w:val="yellow"/>
        </w:rPr>
      </w:r>
      <w:r>
        <w:rPr>
          <w:i/>
          <w:color w:val="3366ff"/>
          <w:sz w:val="28"/>
          <w:szCs w:val="28"/>
          <w:highlight w:val="yellow"/>
        </w:rPr>
      </w:r>
    </w:p>
    <w:p>
      <w:pPr>
        <w:pBdr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Приоритеты деятельности</w:t>
      </w:r>
      <w:r>
        <w:rPr>
          <w:b/>
          <w:bCs/>
          <w:sz w:val="28"/>
          <w:szCs w:val="28"/>
        </w:rPr>
        <w:t xml:space="preserve"> и основные задачи на перспективу</w:t>
      </w:r>
      <w:r>
        <w:rPr>
          <w:b/>
          <w:bCs/>
          <w:sz w:val="28"/>
          <w:szCs w:val="28"/>
        </w:rPr>
        <w:t xml:space="preserve"> Контрольно-счетной палаты города Орска</w:t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законодательно закреплёнными задачами и функциями деятельность Контрольно-счетной палаты направлена на выявление и дальнейшее предотвращение нарушений при исполнении бюджета, использовании муниципальной собственности.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Нарушения,</w:t>
      </w:r>
      <w:r>
        <w:rPr>
          <w:sz w:val="28"/>
          <w:szCs w:val="28"/>
        </w:rPr>
        <w:t xml:space="preserve"> выявленные в 2025 году, свидетельствуют о том, что </w:t>
      </w:r>
      <w:r>
        <w:rPr>
          <w:sz w:val="28"/>
          <w:szCs w:val="28"/>
        </w:rPr>
        <w:t xml:space="preserve">в ходе формирования и исполнения местного бюджета еще имеются достаточные резервы совершенствования бюджетного процесса и укрепления финансовой дисциплины.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полномочий по внешнему муниципальному финансовому контролю, определенных Федеральным законом от 07 февраля </w:t>
      </w:r>
      <w:r>
        <w:rPr>
          <w:sz w:val="28"/>
          <w:szCs w:val="28"/>
        </w:rPr>
        <w:t xml:space="preserve">2011 года №6-ФЗ, Федеральным законом №44-ФЗ </w:t>
      </w:r>
      <w:r>
        <w:t xml:space="preserve">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и Положением «О Контрольно-счетной палате города Орска» Контрольно-счетная палата города Орска определила</w:t>
      </w:r>
      <w:r>
        <w:rPr>
          <w:sz w:val="28"/>
          <w:szCs w:val="28"/>
        </w:rPr>
        <w:t xml:space="preserve"> следующие приоритетные</w:t>
      </w:r>
      <w:r>
        <w:rPr>
          <w:sz w:val="28"/>
          <w:szCs w:val="28"/>
        </w:rPr>
        <w:t xml:space="preserve"> направления своей деятельности: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Продолжение контроля за формированием доходов и расходов местного бюджета.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Повышения внимания к вопросам социальной и экономической эффективности расходования бюджетных средств и других муниципальных ресурсов.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Выявление фактов и обстоятельств, препятствующих достижению целей</w:t>
      </w:r>
      <w:r>
        <w:rPr>
          <w:sz w:val="28"/>
          <w:szCs w:val="28"/>
        </w:rPr>
        <w:t xml:space="preserve"> и решению задач объектов контроля или приводящих к избыточному потреблению ресурсов.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Усиление ко</w:t>
      </w:r>
      <w:r>
        <w:rPr>
          <w:sz w:val="28"/>
          <w:szCs w:val="28"/>
        </w:rPr>
        <w:t xml:space="preserve">нтроля за реализацией проверенными объектами предложений Контрольно-счетной палаты города Орска по устранению выявленных контрольными мероприятиями упущений, нарушений и недостатков, исходя из необходимости достижения результативности проведенных проверок.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контрольных и экспертно-аналитических</w:t>
      </w:r>
      <w:r>
        <w:rPr>
          <w:sz w:val="28"/>
          <w:szCs w:val="28"/>
        </w:rPr>
        <w:t xml:space="preserve"> мероприятий в соответствии с утвержденным планом, связанных с решением задач, вытекающих из требований законодательства Российской Федерации, послания Президента Российской Федерации, требований и поручений городского Совета депутатов, главы города Орска.</w:t>
      </w:r>
      <w:r/>
    </w:p>
    <w:p>
      <w:pPr>
        <w:pBdr/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Внедрение лучших практик высшего органа аудита Российской Федерации, что позволит повысить качество результирующих документов и эффективность использования ресурсов направлений деятельности. Каждое направление деятельности при фо</w:t>
      </w:r>
      <w:r>
        <w:rPr>
          <w:sz w:val="28"/>
          <w:szCs w:val="28"/>
        </w:rPr>
        <w:t xml:space="preserve">рмировании плана работы Контрольно-счетной палаты города Орска ориентировано на формирование ожидаемого результата (тематики), который может оказать существенное влияние на экономическую ситуацию в МО «Город Орск», привлечь общественное внимание, а также с</w:t>
      </w:r>
      <w:r>
        <w:rPr>
          <w:sz w:val="28"/>
          <w:szCs w:val="28"/>
        </w:rPr>
        <w:t xml:space="preserve">одействовать принятию мер по устранению выявленных недостатков и нарушений. Указанные результаты (тематики) определяются направлениями деятельности и являются обоснованием для формирования контрольных и экспертно-аналитических мероприятий на плановый год. 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стратегического аудита (в том числе проведение мероприятий в целях мониторинга и оценки достижения национальных целей, обозначенных в Указе Президента Российской Федерации от 21 июля </w:t>
      </w:r>
      <w:r>
        <w:rPr>
          <w:sz w:val="28"/>
          <w:szCs w:val="28"/>
        </w:rPr>
        <w:t xml:space="preserve">2020 г</w:t>
      </w:r>
      <w:r>
        <w:rPr>
          <w:sz w:val="28"/>
          <w:szCs w:val="28"/>
        </w:rPr>
        <w:t xml:space="preserve">. № 474 «О национальных целях и стратегических задачах развития Российской Федерации на период до 2030 года».</w:t>
      </w:r>
      <w:r/>
    </w:p>
    <w:p>
      <w:pPr>
        <w:pBdr/>
        <w:tabs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мероприятий по оценке хода реализации муниципальных программ МО «Город Орск», а также по оценк</w:t>
      </w:r>
      <w:r>
        <w:rPr>
          <w:sz w:val="28"/>
          <w:szCs w:val="28"/>
        </w:rPr>
        <w:t xml:space="preserve">е достаточности утвержденных программ для достижения национальных целей, выработке рекомендаций по расширению возможностей достижения показателей муниципальных программ с учетом результатов стратегического аудита, аудита эффективности и финансового аудита.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Повышение качества управления муниципальными финансами, обеспечение достоверности бюджетной отчетности, устранение выявленных системных нарушений. 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Формулирование по итогам проведенных мероприятий рекомендаций по повышению эффективности расходования средств муниципального бюджета, а также рекомендаций, направленных на содействие развитию системы муниципального управления.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Содействие принятию мер по устранению выявленных недостатков и нарушений.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Использование системы проектного управления в Контрольно-счетной палате города Орска как инструмента решения нестандартных задач и реализации стратегических инициатив. </w:t>
      </w:r>
      <w:r/>
    </w:p>
    <w:p>
      <w:pPr>
        <w:pBdr/>
        <w:tabs>
          <w:tab w:val="left" w:leader="none" w:pos="993"/>
          <w:tab w:val="left" w:leader="none" w:pos="1134"/>
        </w:tabs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Улучшение качества контрольных и экспертно-аналитических мероприятий, в том числе за счет повышения квалификации муниципальных служащих.</w:t>
      </w:r>
      <w:r/>
    </w:p>
    <w:p>
      <w:pPr>
        <w:pBdr/>
        <w:tabs>
          <w:tab w:val="left" w:leader="none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максимального выполнения предложений выданных Контрольно-счетной палатой города Орска по результатам контрольных и экспертно-аналитических мероприятий.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Применению методических рекомендаций по осуществлению полномочий в сфере противодействия коррупции.</w:t>
      </w:r>
      <w:r/>
    </w:p>
    <w:p>
      <w:pPr>
        <w:pBdr/>
        <w:tabs>
          <w:tab w:val="left" w:leader="none" w:pos="1134"/>
        </w:tabs>
        <w:spacing w:line="276" w:lineRule="auto"/>
        <w:ind w:firstLine="708"/>
        <w:jc w:val="both"/>
        <w:rPr/>
      </w:pP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Дальнейшей стандартизации деятельности Контрольно-счетной палаты.</w:t>
      </w:r>
      <w:r/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14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  <w:tab/>
        <w:t xml:space="preserve">Анализ действующего законодательства и разрабатываемых законопроектов на предмет коррупциогенности.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15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  <w:tab/>
        <w:t xml:space="preserve">Укрепление взаимодействия с Орским городским Советом депутатов при планировании контрольных мероприятий и рассмотрении их результатов.</w:t>
      </w:r>
      <w:r>
        <w:rPr>
          <w:rFonts w:eastAsia="Calibri"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16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  <w:tab/>
      </w:r>
      <w:r>
        <w:rPr>
          <w:rFonts w:eastAsia="Calibri"/>
          <w:sz w:val="28"/>
          <w:szCs w:val="28"/>
          <w:shd w:val="clear" w:color="auto" w:fill="ffffff"/>
        </w:rPr>
        <w:t xml:space="preserve">Усилению взаимодействия с прокуратурами города в рамках действующих соглашений.</w:t>
      </w:r>
      <w:r>
        <w:rPr>
          <w:rFonts w:eastAsia="Calibri"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17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  <w:tab/>
      </w:r>
      <w:r>
        <w:rPr>
          <w:rFonts w:eastAsia="Calibri"/>
          <w:sz w:val="28"/>
          <w:szCs w:val="28"/>
          <w:shd w:val="clear" w:color="auto" w:fill="ffffff"/>
        </w:rPr>
        <w:t xml:space="preserve">Повышению профессионального уровня и правовому образованию сотрудников Контрольно-счетной палаты.</w:t>
      </w:r>
      <w:r>
        <w:rPr>
          <w:rFonts w:eastAsia="Calibri"/>
          <w:sz w:val="28"/>
          <w:szCs w:val="28"/>
        </w:rPr>
      </w:r>
    </w:p>
    <w:p>
      <w:pPr>
        <w:pBdr/>
        <w:shd w:val="clear" w:color="auto" w:fill="ffffff"/>
        <w:tabs>
          <w:tab w:val="left" w:leader="none" w:pos="1134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18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  <w:tab/>
        <w:t xml:space="preserve">Обеспечение информационной открытости своей работы и доведение информации о результатах контрольной, экспертно-аналитической и другой деятельности до заинтересованных сторон.</w:t>
      </w:r>
      <w:r>
        <w:rPr>
          <w:rFonts w:eastAsia="Calibri"/>
          <w:sz w:val="28"/>
          <w:szCs w:val="28"/>
        </w:rPr>
      </w:r>
    </w:p>
    <w:p>
      <w:pPr>
        <w:pBdr/>
        <w:shd w:val="clear" w:color="auto" w:fill="ffffff"/>
        <w:tabs>
          <w:tab w:val="left" w:leader="none" w:pos="1134"/>
        </w:tabs>
        <w:spacing w:line="276" w:lineRule="auto"/>
        <w:ind w:firstLine="851"/>
        <w:jc w:val="both"/>
        <w:rPr>
          <w:rFonts w:ascii="Calibri" w:hAnsi="Calibri"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Следствиями информационной открытости являются рост узнаваемости Контрольно-счетной палаты города Орска и осведомленности о ее деятельности среди целевых аудиторий, рост оценки деятельности как эффективной, рост вос</w:t>
      </w:r>
      <w:r>
        <w:rPr>
          <w:rFonts w:eastAsia="Calibri"/>
          <w:sz w:val="28"/>
          <w:szCs w:val="28"/>
        </w:rPr>
        <w:t xml:space="preserve">приятия Контрольно-счетной палаты города Орска как общественного института за счет публикации всех отчетов контрольных и экспертно-аналитических мероприятий и содействие публичному обсуждению результатов деятельности Контрольно-счетной палаты города Орска.</w:t>
      </w:r>
      <w:r>
        <w:rPr>
          <w:rFonts w:ascii="Calibri" w:hAnsi="Calibri" w:eastAsia="Calibri"/>
          <w:sz w:val="28"/>
          <w:szCs w:val="28"/>
        </w:rPr>
      </w:r>
    </w:p>
    <w:p>
      <w:pPr>
        <w:pBdr/>
        <w:spacing w:line="276" w:lineRule="auto"/>
        <w:ind w:firstLine="851"/>
        <w:jc w:val="both"/>
        <w:rPr/>
      </w:pPr>
      <w:r>
        <w:rPr>
          <w:sz w:val="28"/>
          <w:szCs w:val="28"/>
        </w:rPr>
        <w:t xml:space="preserve">В предстоящем году, Контрольно-счетная палата города Орска также продолжит осуществлять мониторинг и контроль за реализацией приоритетных проектов и программ по основным направлениям стратегического развития МО «Город Орск». </w:t>
      </w:r>
      <w:r/>
    </w:p>
    <w:p>
      <w:pPr>
        <w:pBdr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приоритетных проектов, в силу своего масштаба, оказывает существенное влияние на социально-экономическую ситуацию в МО «Город Орск». Эффективный своевременный внешний контроль использовани</w:t>
      </w:r>
      <w:r>
        <w:rPr>
          <w:sz w:val="28"/>
          <w:szCs w:val="28"/>
        </w:rPr>
        <w:t xml:space="preserve">я ресурсов на указанные цели со стороны Контрольно-счетной палаты города Орска позволит выявить риски исполнения проектов и программ, сформулировать решения по их устранению или минимизации и, в конечном итоге, повысить результативность бюджетных расходов.</w:t>
      </w:r>
      <w:r>
        <w:rPr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Контрольно-счетной палаты города Орска на 2026 год сформирован</w:t>
      </w:r>
      <w:r>
        <w:rPr>
          <w:sz w:val="28"/>
          <w:szCs w:val="28"/>
        </w:rPr>
        <w:t xml:space="preserve"> в соответствии с полномочиями </w:t>
      </w:r>
      <w:r>
        <w:rPr>
          <w:sz w:val="28"/>
          <w:szCs w:val="28"/>
        </w:rPr>
        <w:t xml:space="preserve">Контрольно-счетной палаты города Орска</w:t>
      </w:r>
      <w:r>
        <w:rPr>
          <w:sz w:val="28"/>
          <w:szCs w:val="28"/>
        </w:rPr>
        <w:t xml:space="preserve">, закрепленными законодательно.</w:t>
      </w:r>
      <w:r>
        <w:rPr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безусловного исполнения намеченных мероприятий планом работы предусмотрено методическое, информационное, кадровое и техническое обеспечение деятельности </w:t>
      </w:r>
      <w:r>
        <w:rPr>
          <w:sz w:val="28"/>
          <w:szCs w:val="28"/>
        </w:rPr>
        <w:t xml:space="preserve">Контрольно-счетной палаты города Орска</w:t>
      </w:r>
      <w:r>
        <w:rPr>
          <w:sz w:val="28"/>
          <w:szCs w:val="28"/>
        </w:rPr>
        <w:t xml:space="preserve">, направленное на совершенствование форм и методов контроля, способствующее повышению его эффективности и обеспечению гласности в работе как одного из факторов предупреждения и профилактики правонарушений в бюджетной сфере.</w:t>
      </w:r>
      <w:r>
        <w:rPr>
          <w:sz w:val="28"/>
          <w:szCs w:val="28"/>
        </w:rPr>
      </w:r>
    </w:p>
    <w:p>
      <w:pPr>
        <w:pBdr/>
        <w:spacing/>
        <w:ind/>
        <w:rPr>
          <w:bCs/>
          <w:i/>
          <w:color w:val="3366ff"/>
          <w:sz w:val="28"/>
          <w:szCs w:val="28"/>
          <w:highlight w:val="yellow"/>
        </w:rPr>
      </w:pPr>
      <w:r>
        <w:rPr>
          <w:bCs/>
          <w:i/>
          <w:color w:val="3366ff"/>
          <w:sz w:val="28"/>
          <w:szCs w:val="28"/>
          <w:highlight w:val="yellow"/>
        </w:rPr>
      </w:r>
      <w:r>
        <w:rPr>
          <w:bCs/>
          <w:i/>
          <w:color w:val="3366ff"/>
          <w:sz w:val="28"/>
          <w:szCs w:val="28"/>
          <w:highlight w:val="yellow"/>
        </w:rPr>
      </w:r>
    </w:p>
    <w:p>
      <w:pPr>
        <w:pBdr/>
        <w:spacing w:line="276" w:lineRule="auto"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7. Основные направления деятельности </w:t>
      </w:r>
      <w:r>
        <w:rPr>
          <w:b/>
          <w:bCs/>
          <w:iCs/>
          <w:sz w:val="28"/>
          <w:szCs w:val="28"/>
        </w:rPr>
        <w:t xml:space="preserve">контрольно-счетной палаты</w:t>
      </w:r>
      <w:r>
        <w:rPr>
          <w:b/>
          <w:bCs/>
          <w:iCs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 2026</w:t>
      </w:r>
      <w:r>
        <w:rPr>
          <w:b/>
          <w:bCs/>
          <w:iCs/>
          <w:sz w:val="28"/>
          <w:szCs w:val="28"/>
        </w:rPr>
        <w:t xml:space="preserve"> году</w:t>
      </w:r>
      <w:r>
        <w:rPr>
          <w:b/>
          <w:bCs/>
          <w:iCs/>
          <w:sz w:val="28"/>
          <w:szCs w:val="28"/>
        </w:rPr>
      </w:r>
    </w:p>
    <w:p>
      <w:pPr>
        <w:pBdr/>
        <w:spacing w:line="276" w:lineRule="auto"/>
        <w:ind/>
        <w:jc w:val="center"/>
        <w:rPr/>
      </w:pPr>
      <w:r/>
      <w:r/>
    </w:p>
    <w:p>
      <w:pPr>
        <w:pBdr/>
        <w:spacing w:line="276" w:lineRule="auto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Деятельность </w:t>
      </w:r>
      <w:r>
        <w:rPr>
          <w:bCs/>
          <w:iCs/>
          <w:sz w:val="28"/>
          <w:szCs w:val="28"/>
        </w:rPr>
        <w:t xml:space="preserve">К</w:t>
      </w:r>
      <w:r>
        <w:rPr>
          <w:bCs/>
          <w:iCs/>
          <w:sz w:val="28"/>
          <w:szCs w:val="28"/>
        </w:rPr>
        <w:t xml:space="preserve">онтрольно-счетной палаты в 2026</w:t>
      </w:r>
      <w:r>
        <w:rPr>
          <w:bCs/>
          <w:iCs/>
          <w:sz w:val="28"/>
          <w:szCs w:val="28"/>
        </w:rPr>
        <w:t xml:space="preserve"> году будет осуществляться в рамках полномочий, возложенных Бюджетным кодексом РФ, Федеральным законом № 6-ФЗ и Положением о контрольно-счетной палате. В план работы к</w:t>
      </w:r>
      <w:r>
        <w:rPr>
          <w:bCs/>
          <w:iCs/>
          <w:sz w:val="28"/>
          <w:szCs w:val="28"/>
        </w:rPr>
        <w:t xml:space="preserve">онтрольно-счетной палаты на 2026</w:t>
      </w:r>
      <w:r>
        <w:rPr>
          <w:bCs/>
          <w:iCs/>
          <w:sz w:val="28"/>
          <w:szCs w:val="28"/>
        </w:rPr>
        <w:t xml:space="preserve"> год включены контрольные и экспертно-аналитические мероприятия, которые будут охватывать вопросы соблюдения субъектами бюджетной системы финансово-бюджетного </w:t>
      </w:r>
      <w:r>
        <w:rPr>
          <w:bCs/>
          <w:iCs/>
          <w:sz w:val="28"/>
          <w:szCs w:val="28"/>
        </w:rPr>
        <w:t xml:space="preserve">законодат</w:t>
      </w:r>
      <w:r>
        <w:rPr>
          <w:bCs/>
          <w:iCs/>
          <w:sz w:val="28"/>
          <w:szCs w:val="28"/>
        </w:rPr>
        <w:t xml:space="preserve">ельства, своевременности и полноты мобилизации муниципальных ресурсов, эффективности и законности управления муниципальной собственностью, целевого и эффективного использования средств местного бюджета участниками бюджетного процесса, соблюдения ими правил</w:t>
      </w:r>
      <w:r>
        <w:rPr>
          <w:bCs/>
          <w:iCs/>
          <w:sz w:val="28"/>
          <w:szCs w:val="28"/>
        </w:rPr>
        <w:t xml:space="preserve"> ведения бюджетного учета и отчетности, осуществления аудита в сфере закупок,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плановый период. </w:t>
      </w:r>
      <w:r>
        <w:rPr>
          <w:bCs/>
          <w:iCs/>
          <w:sz w:val="28"/>
          <w:szCs w:val="28"/>
        </w:rPr>
        <w:t xml:space="preserve">Экспер</w:t>
      </w:r>
      <w:r>
        <w:rPr>
          <w:bCs/>
          <w:iCs/>
          <w:sz w:val="28"/>
          <w:szCs w:val="28"/>
        </w:rPr>
        <w:t xml:space="preserve">тно-аналитическая деятельность К</w:t>
      </w:r>
      <w:r>
        <w:rPr>
          <w:bCs/>
          <w:iCs/>
          <w:sz w:val="28"/>
          <w:szCs w:val="28"/>
        </w:rPr>
        <w:t xml:space="preserve">онтрольно-счетной палаты в текущем году будет направлена на анализ и оценку реализации муниципальных программ, как в части законности </w:t>
      </w:r>
      <w:r>
        <w:rPr>
          <w:bCs/>
          <w:iCs/>
          <w:sz w:val="28"/>
          <w:szCs w:val="28"/>
        </w:rPr>
        <w:t xml:space="preserve">и эффективности расходования бюджетных средств, так и в части достижения утвержденных целевых показателей (индикаторов). Также экспертно-аналитическими мероприятиями будет уделено внимание по проведению экспертизы муниципального задания, доведенного до мун</w:t>
      </w:r>
      <w:r>
        <w:rPr>
          <w:bCs/>
          <w:iCs/>
          <w:sz w:val="28"/>
          <w:szCs w:val="28"/>
        </w:rPr>
        <w:t xml:space="preserve">иципальных автономных учреждений дополнительного образования на соответствие общим требованиям по определению нормативных затрат на оказание услуг в сфере дополнительного образования и на соответствие расчетов объемов финансирования муниципального задания.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План работы К</w:t>
      </w:r>
      <w:r>
        <w:rPr>
          <w:bCs/>
          <w:iCs/>
          <w:sz w:val="28"/>
          <w:szCs w:val="28"/>
        </w:rPr>
        <w:t xml:space="preserve">онтрольно-счетной палаты на 2026 год включает проведение 7</w:t>
      </w:r>
      <w:r>
        <w:rPr>
          <w:bCs/>
          <w:iCs/>
          <w:sz w:val="28"/>
          <w:szCs w:val="28"/>
        </w:rPr>
        <w:t xml:space="preserve"> контрольных мероприятий. Контрольными мероприятиями будут охвачены вопросы по</w:t>
      </w:r>
      <w:r>
        <w:rPr>
          <w:bCs/>
          <w:iCs/>
          <w:sz w:val="28"/>
          <w:szCs w:val="28"/>
        </w:rPr>
        <w:t xml:space="preserve"> использованию</w:t>
      </w:r>
      <w:r>
        <w:rPr>
          <w:bCs/>
          <w:iCs/>
          <w:sz w:val="28"/>
          <w:szCs w:val="28"/>
        </w:rPr>
        <w:t xml:space="preserve"> бюджетных средств, направленных на осуществление деятельности учреждений культуры, образования,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физической культуры и </w:t>
      </w:r>
      <w:r>
        <w:rPr>
          <w:bCs/>
          <w:iCs/>
          <w:sz w:val="28"/>
          <w:szCs w:val="28"/>
        </w:rPr>
        <w:t xml:space="preserve">спорта</w:t>
      </w:r>
      <w:r>
        <w:rPr>
          <w:bCs/>
          <w:iCs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eastAsia="ar-SA"/>
        </w:rPr>
        <w:t xml:space="preserve">Управление жилищно-коммунального, дорожного хозяйства и транспорта администрации города Орска.</w:t>
      </w:r>
      <w:r>
        <w:rPr>
          <w:bCs/>
          <w:iCs/>
          <w:sz w:val="28"/>
          <w:szCs w:val="28"/>
        </w:rPr>
        <w:t xml:space="preserve"> В сфере культуры планируется </w:t>
      </w:r>
      <w:r>
        <w:rPr>
          <w:bCs/>
          <w:iCs/>
          <w:sz w:val="28"/>
          <w:szCs w:val="28"/>
        </w:rPr>
        <w:t xml:space="preserve">полные проверки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двух учреждений получившие бюджетные средства на своё оснащение в рамках реализации приоритетного проекта</w:t>
      </w:r>
      <w:r>
        <w:rPr>
          <w:bCs/>
          <w:iCs/>
          <w:sz w:val="28"/>
          <w:szCs w:val="28"/>
        </w:rPr>
        <w:t xml:space="preserve"> «Культура малой Родины» в 2024 - 2025 году (клуб села Ора и клуб села Новоказачий). В сфере образования </w:t>
      </w:r>
      <w:r>
        <w:rPr>
          <w:bCs/>
          <w:iCs/>
          <w:sz w:val="28"/>
          <w:szCs w:val="28"/>
        </w:rPr>
        <w:t xml:space="preserve">планируется</w:t>
      </w:r>
      <w:r>
        <w:rPr>
          <w:bCs/>
          <w:iCs/>
          <w:sz w:val="28"/>
          <w:szCs w:val="28"/>
        </w:rPr>
        <w:t xml:space="preserve"> полностью</w:t>
      </w:r>
      <w:r>
        <w:rPr>
          <w:bCs/>
          <w:iCs/>
          <w:sz w:val="28"/>
          <w:szCs w:val="28"/>
        </w:rPr>
        <w:t xml:space="preserve"> проверить</w:t>
      </w:r>
      <w:r>
        <w:rPr>
          <w:bCs/>
          <w:iCs/>
          <w:sz w:val="28"/>
          <w:szCs w:val="28"/>
        </w:rPr>
        <w:t xml:space="preserve"> финансово-хозяйственную деятельность, исполнение соглашений на выполнение муниципального задания, эффективность использования муниципальной собственности, переданной в оперативное управление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МОАУ «Лицей №1 г. Орска Оренбургской области», осуществить аудит в сфере закупок и проверить планирование и расходование средств, полученных от предпринимательской и иной приносящей доход деятельности. В </w:t>
      </w:r>
      <w:r>
        <w:rPr>
          <w:bCs/>
          <w:iCs/>
          <w:sz w:val="28"/>
          <w:szCs w:val="28"/>
        </w:rPr>
        <w:t xml:space="preserve">МОАУ</w:t>
      </w:r>
      <w:r>
        <w:rPr>
          <w:bCs/>
          <w:iCs/>
          <w:sz w:val="28"/>
          <w:szCs w:val="28"/>
        </w:rPr>
        <w:t xml:space="preserve"> «Средняя общеобразовательная школа №1 им. А.С. Макаренко г. Орска» планируется проверить планирование, выделение, и эффективное использование денежных средств, предусмотренных учреждению на его капитальный ремонт в 2025 году, а также </w:t>
      </w:r>
      <w:r>
        <w:rPr>
          <w:bCs/>
          <w:iCs/>
          <w:sz w:val="28"/>
          <w:szCs w:val="28"/>
        </w:rPr>
        <w:t xml:space="preserve">осуществить аудит в сфере закупок</w:t>
      </w:r>
      <w:r>
        <w:rPr>
          <w:bCs/>
          <w:iCs/>
          <w:sz w:val="28"/>
          <w:szCs w:val="28"/>
        </w:rPr>
        <w:t xml:space="preserve">.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сфере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физической культуры и спорта</w:t>
      </w:r>
      <w:r>
        <w:rPr>
          <w:bCs/>
          <w:iCs/>
          <w:sz w:val="28"/>
          <w:szCs w:val="28"/>
        </w:rPr>
        <w:t xml:space="preserve"> внимание будет уделено целевому и </w:t>
      </w:r>
      <w:r>
        <w:rPr>
          <w:bCs/>
          <w:iCs/>
          <w:sz w:val="28"/>
          <w:szCs w:val="28"/>
        </w:rPr>
        <w:t xml:space="preserve">эффективному использованию бюджетных средств, выделенных МАУДО «Спортивная школа Свобода» г. Орска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 приобретение имущества, оборудования, инвентаря пострадавшего в результате чрезвычайной ситуации, связанной во время прохождения паводка 2024 года.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Кроме того,</w:t>
      </w:r>
      <w:r>
        <w:rPr>
          <w:bCs/>
          <w:iCs/>
          <w:sz w:val="28"/>
          <w:szCs w:val="28"/>
        </w:rPr>
        <w:t xml:space="preserve"> К</w:t>
      </w:r>
      <w:r>
        <w:rPr>
          <w:bCs/>
          <w:iCs/>
          <w:sz w:val="28"/>
          <w:szCs w:val="28"/>
        </w:rPr>
        <w:t xml:space="preserve">онтрольно-счетная палата г. Орска в текущем году проведет контрольные мероприятия в Управлении</w:t>
      </w:r>
      <w:r>
        <w:rPr>
          <w:bCs/>
          <w:iCs/>
          <w:sz w:val="28"/>
          <w:szCs w:val="28"/>
        </w:rPr>
        <w:t xml:space="preserve"> жилищно-коммунального, дорожного хозяйства и транспорта администрации города Орска</w:t>
      </w:r>
      <w:r>
        <w:rPr>
          <w:bCs/>
          <w:iCs/>
          <w:sz w:val="28"/>
          <w:szCs w:val="28"/>
        </w:rPr>
        <w:t xml:space="preserve"> по вопросу использования </w:t>
      </w:r>
      <w:r>
        <w:rPr>
          <w:bCs/>
          <w:iCs/>
          <w:sz w:val="28"/>
          <w:szCs w:val="28"/>
        </w:rPr>
        <w:t xml:space="preserve">бюджетных средств,</w:t>
      </w:r>
      <w:r>
        <w:rPr>
          <w:bCs/>
          <w:iCs/>
          <w:sz w:val="28"/>
          <w:szCs w:val="28"/>
        </w:rPr>
        <w:t xml:space="preserve"> выделенных на ос</w:t>
      </w:r>
      <w:r>
        <w:rPr>
          <w:bCs/>
          <w:iCs/>
          <w:sz w:val="28"/>
          <w:szCs w:val="28"/>
        </w:rPr>
        <w:t xml:space="preserve">уществление отдельных государственных полномочий в сфере обращения с животными без владельцев.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Неизменно важным в работе </w:t>
      </w:r>
      <w:r>
        <w:rPr>
          <w:bCs/>
          <w:iCs/>
          <w:sz w:val="28"/>
          <w:szCs w:val="28"/>
        </w:rPr>
        <w:t xml:space="preserve">контрольно-счетной палаты в 2026</w:t>
      </w:r>
      <w:r>
        <w:rPr>
          <w:bCs/>
          <w:iCs/>
          <w:sz w:val="28"/>
          <w:szCs w:val="28"/>
        </w:rPr>
        <w:t xml:space="preserve"> году остается контроль за устранением выявленных в ходе контрольных мероприятий нарушений и недостатков, анализ полноты и результативности реагирования по результатам рассмо</w:t>
      </w:r>
      <w:r>
        <w:rPr>
          <w:bCs/>
          <w:iCs/>
          <w:sz w:val="28"/>
          <w:szCs w:val="28"/>
        </w:rPr>
        <w:t xml:space="preserve">трения замечаний и предложений К</w:t>
      </w:r>
      <w:r>
        <w:rPr>
          <w:bCs/>
          <w:iCs/>
          <w:sz w:val="28"/>
          <w:szCs w:val="28"/>
        </w:rPr>
        <w:t xml:space="preserve">онтрольно-счетной палаты города Орска.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851"/>
        <w:jc w:val="both"/>
        <w:rPr/>
      </w:pPr>
      <w:r>
        <w:rPr>
          <w:bCs/>
          <w:iCs/>
          <w:sz w:val="28"/>
          <w:szCs w:val="28"/>
        </w:rPr>
        <w:t xml:space="preserve"> </w:t>
      </w:r>
      <w:r/>
    </w:p>
    <w:p>
      <w:pPr>
        <w:pBdr/>
        <w:spacing/>
        <w:ind/>
        <w:jc w:val="both"/>
        <w:rPr>
          <w:bCs/>
          <w:iCs/>
          <w:sz w:val="28"/>
          <w:szCs w:val="28"/>
          <w:highlight w:val="yellow"/>
        </w:rPr>
      </w:pPr>
      <w:r>
        <w:rPr>
          <w:bCs/>
          <w:iCs/>
          <w:sz w:val="28"/>
          <w:szCs w:val="28"/>
          <w:highlight w:val="yellow"/>
        </w:rPr>
      </w:r>
      <w:r>
        <w:rPr>
          <w:bCs/>
          <w:iCs/>
          <w:sz w:val="28"/>
          <w:szCs w:val="28"/>
          <w:highlight w:val="yellow"/>
        </w:rPr>
      </w:r>
    </w:p>
    <w:p>
      <w:pPr>
        <w:pBdr/>
        <w:spacing/>
        <w:ind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pBdr/>
        <w:spacing/>
        <w:ind w:firstLine="851"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OpenSymbol">
    <w:panose1 w:val="05010000000000000000"/>
  </w:font>
  <w:font w:name="Symbol">
    <w:panose1 w:val="05050102010706020507"/>
  </w:font>
  <w:font w:name="Segoe UI">
    <w:panose1 w:val="020B0502040204020203"/>
  </w:font>
  <w:font w:name="Andale Sans UI">
    <w:panose1 w:val="05050102010205020202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76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"/>
      <w:numFmt w:val="bullet"/>
      <w:pPr>
        <w:pBdr/>
        <w:tabs>
          <w:tab w:val="num" w:leader="none" w:pos="1353"/>
        </w:tabs>
        <w:spacing/>
        <w:ind w:hanging="360" w:left="1353"/>
      </w:pPr>
      <w:rPr>
        <w:rFonts w:ascii="Symbol" w:hAnsi="Symbol" w:cs="Open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713"/>
        </w:tabs>
        <w:spacing/>
        <w:ind w:hanging="360" w:left="1713"/>
      </w:pPr>
      <w:rPr>
        <w:rFonts w:ascii="Symbol" w:hAnsi="Symbol" w:cs="Open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2073"/>
        </w:tabs>
        <w:spacing/>
        <w:ind w:hanging="360" w:left="2073"/>
      </w:pPr>
      <w:rPr>
        <w:rFonts w:ascii="Symbol" w:hAnsi="Symbol" w:cs="Open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2433"/>
        </w:tabs>
        <w:spacing/>
        <w:ind w:hanging="360" w:left="2433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793"/>
        </w:tabs>
        <w:spacing/>
        <w:ind w:hanging="360" w:left="2793"/>
      </w:pPr>
      <w:rPr>
        <w:rFonts w:ascii="Symbol" w:hAnsi="Symbol" w:cs="Open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3153"/>
        </w:tabs>
        <w:spacing/>
        <w:ind w:hanging="360" w:left="3153"/>
      </w:pPr>
      <w:rPr>
        <w:rFonts w:ascii="Symbol" w:hAnsi="Symbol" w:cs="Open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3513"/>
        </w:tabs>
        <w:spacing/>
        <w:ind w:hanging="360" w:left="3513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873"/>
        </w:tabs>
        <w:spacing/>
        <w:ind w:hanging="360" w:left="3873"/>
      </w:pPr>
      <w:rPr>
        <w:rFonts w:ascii="Symbol" w:hAnsi="Symbol" w:cs="Open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4233"/>
        </w:tabs>
        <w:spacing/>
        <w:ind w:hanging="360" w:left="4233"/>
      </w:pPr>
      <w:rPr>
        <w:rFonts w:ascii="Symbol" w:hAnsi="Symbol" w:cs="OpenSymbol"/>
      </w:rPr>
      <w:start w:val="1"/>
      <w:suff w:val="tab"/>
    </w:lvl>
  </w:abstractNum>
  <w:abstractNum w:abstractNumId="1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nsid w:val="6E144AD4"/>
    <w:lvl w:ilvl="0">
      <w:isLgl w:val="false"/>
      <w:lvlJc w:val="left"/>
      <w:lvlText w:val="%1."/>
      <w:numFmt w:val="decimal"/>
      <w:pPr>
        <w:pBdr/>
        <w:spacing/>
        <w:ind w:hanging="360" w:left="2773"/>
      </w:pPr>
      <w:rPr>
        <w:rFonts w:hint="default"/>
        <w:b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4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2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9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6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8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533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widowControl w:val="false"/>
      <w:pBdr/>
      <w:spacing/>
      <w:ind/>
    </w:pPr>
    <w:rPr>
      <w:rFonts w:ascii="Times New Roman" w:hAnsi="Times New Roman" w:eastAsia="Andale Sans UI"/>
      <w:sz w:val="24"/>
      <w:szCs w:val="24"/>
      <w:lang w:eastAsia="zh-CN"/>
    </w:r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character" w:styleId="67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675">
    <w:name w:val="Balloon Text"/>
    <w:basedOn w:val="670"/>
    <w:link w:val="67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6" w:customStyle="1">
    <w:name w:val="Текст выноски Знак"/>
    <w:link w:val="675"/>
    <w:uiPriority w:val="99"/>
    <w:semiHidden/>
    <w:pPr>
      <w:pBdr/>
      <w:spacing/>
      <w:ind/>
    </w:pPr>
    <w:rPr>
      <w:rFonts w:ascii="Segoe UI" w:hAnsi="Segoe UI" w:eastAsia="Andale Sans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hyperlink" Target="http://www.bus.gov.ru" TargetMode="External"/><Relationship Id="rId13" Type="http://schemas.openxmlformats.org/officeDocument/2006/relationships/chart" Target="charts/chart2.xml" /><Relationship Id="rId14" Type="http://schemas.openxmlformats.org/officeDocument/2006/relationships/chart" Target="charts/chart3.xml" /><Relationship Id="rId15" Type="http://schemas.openxmlformats.org/officeDocument/2006/relationships/chart" Target="charts/chart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2.xml" /><Relationship Id="rId2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3.xml" /><Relationship Id="rId2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 w="25400"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00000"/>
          <c:y val="0.052678"/>
          <c:w val="1.000000"/>
          <c:h val="0.92758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Э.А.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>
              <a:outerShdw blurRad="50800" dist="50800" dir="5400000" algn="ctr" rotWithShape="0">
                <a:schemeClr val="accent2"/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2025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К.М.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2025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pyramid"/>
        <c:axId val="263241792"/>
        <c:axId val="263242352"/>
      </c:bar3DChart>
      <c:catAx>
        <c:axId val="2632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242352"/>
        <c:crosses val="autoZero"/>
        <c:auto val="1"/>
        <c:lblAlgn val="ctr"/>
        <c:lblOffset val="100"/>
        <c:noMultiLvlLbl val="0"/>
      </c:catAx>
      <c:valAx>
        <c:axId val="263242352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63241792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r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 bwMode="auto">
        <a:prstGeom prst="rect">
          <a:avLst/>
        </a:prstGeom>
        <a:noFill/>
        <a:ln w="25344">
          <a:noFill/>
        </a:ln>
      </c:spPr>
      <c:txPr>
        <a:bodyPr/>
        <a:lstStyle/>
        <a:p>
          <a:pPr>
            <a:defRPr sz="1150" b="0" i="0" u="none" strike="noStrike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title>
    <c:autoTitleDeleted val="0"/>
    <c:view3D>
      <c:rotX val="30"/>
      <c:hPercent val="50"/>
      <c:rotY val="3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9563"/>
          <c:y val="0.238120"/>
          <c:w val="0.488404"/>
          <c:h val="0.44988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259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explosion val="0"/>
            <c:spPr bwMode="auto">
              <a:prstGeom prst="rect">
                <a:avLst/>
              </a:prstGeom>
              <a:solidFill>
                <a:srgbClr val="FF8080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Местные налоги (2,3%)</a:t>
                    </a:r>
                    <a:endParaRPr/>
                  </a:p>
                </c:rich>
              </c:tx>
            </c:dLbl>
            <c:dLbl>
              <c:idx val="1"/>
              <c:dLblPos val="bestFit"/>
              <c:layout>
                <c:manualLayout>
                  <c:x val="0.057506"/>
                  <c:y val="-0.02777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Муниципальные программы (20,8%)</a:t>
                    </a:r>
                    <a:endParaRPr/>
                  </a:p>
                </c:rich>
              </c:tx>
            </c:dLbl>
            <c:dLbl>
              <c:idx val="2"/>
              <c:dLblPos val="bestFit"/>
              <c:layout>
                <c:manualLayout>
                  <c:x val="-0.003589"/>
                  <c:y val="-0.05593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Управление</a:t>
                    </a:r>
                    <a:r>
                      <a:rPr lang="ru-RU"/>
                      <a:t> и распоряжение муниципальным имуществом (11,3%)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ru-RU"/>
                  </a:p>
                </c:rich>
              </c:tx>
            </c:dLbl>
            <c:dLbl>
              <c:idx val="3"/>
              <c:dLblPos val="bestFit"/>
              <c:layout>
                <c:manualLayout>
                  <c:x val="0.006384"/>
                  <c:y val="0.00099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Бюджет</a:t>
                    </a:r>
                    <a:r>
                      <a:rPr lang="ru-RU"/>
                      <a:t> (отчёт, проект, изменения, поправки (10,4%)</a:t>
                    </a:r>
                    <a:endParaRPr lang="ru-RU"/>
                  </a:p>
                </c:rich>
              </c:tx>
            </c:dLbl>
            <c:dLbl>
              <c:idx val="4"/>
              <c:dLblPos val="bestFit"/>
              <c:layout>
                <c:manualLayout>
                  <c:x val="-0.012622"/>
                  <c:y val="0.04869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Совершенствование</a:t>
                    </a:r>
                    <a:r>
                      <a:rPr lang="ru-RU"/>
                      <a:t> бюджетного процесса (10,4%)</a:t>
                    </a:r>
                    <a:endParaRPr lang="ru-RU"/>
                  </a:p>
                </c:rich>
              </c:tx>
            </c:dLbl>
            <c:dLbl>
              <c:idx val="5"/>
              <c:dLblPos val="bestFit"/>
              <c:layout>
                <c:manualLayout>
                  <c:x val="-0.031367"/>
                  <c:y val="0.02777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Социальная</a:t>
                    </a:r>
                    <a:r>
                      <a:rPr lang="ru-RU"/>
                      <a:t> политика (12,7%)</a:t>
                    </a:r>
                    <a:endParaRPr lang="ru-RU"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44">
                  <a:noFill/>
                </a:ln>
              </c:spPr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Прочие</a:t>
                    </a:r>
                    <a:r>
                      <a:rPr lang="ru-RU"/>
                      <a:t> (32,1%)</a:t>
                    </a:r>
                    <a:endParaRPr lang="ru-RU"/>
                  </a:p>
                </c:rich>
              </c:tx>
            </c:dLbl>
            <c:dLblPos val="outEnd"/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6</c:v>
                </c:pt>
                <c:pt idx="1">
                  <c:v>25</c:v>
                </c:pt>
                <c:pt idx="2">
                  <c:v>12</c:v>
                </c:pt>
                <c:pt idx="3">
                  <c:v>10</c:v>
                </c:pt>
                <c:pt idx="4">
                  <c:v>10</c:v>
                </c:pt>
                <c:pt idx="5">
                  <c:v>16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125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FFFFCC"/>
            </a:solidFill>
            <a:ln w="125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CCFFFF"/>
            </a:solidFill>
            <a:ln w="1259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596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 w="25399">
          <a:noFill/>
        </a:ln>
      </c:spPr>
    </c:plotArea>
    <c:plotVisOnly val="1"/>
    <c:dispBlanksAs val="zero"/>
    <c:showDLblsOverMax val="0"/>
  </c:chart>
  <c:spPr bwMode="auto">
    <a:prstGeom prst="rect">
      <a:avLst/>
    </a:prstGeom>
    <a:solidFill>
      <a:srgbClr val="FFFFCC"/>
    </a:solidFill>
    <a:ln>
      <a:noFill/>
    </a:ln>
  </c:spPr>
  <c:txPr>
    <a:bodyPr/>
    <a:lstStyle/>
    <a:p>
      <a:pPr>
        <a:defRPr sz="950" b="0" i="0" u="none" strike="noStrike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 bwMode="auto">
        <a:prstGeom prst="rect">
          <a:avLst/>
        </a:prstGeom>
        <a:noFill/>
        <a:ln w="25371">
          <a:noFill/>
        </a:ln>
      </c:spPr>
      <c:txPr>
        <a:bodyPr/>
        <a:lstStyle/>
        <a:p>
          <a:pPr>
            <a:defRPr sz="1150" b="0" i="0" u="none" strike="noStrike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title>
    <c:autoTitleDeleted val="0"/>
    <c:view3D>
      <c:rotX val="30"/>
      <c:hPercent val="50"/>
      <c:rotY val="3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7722"/>
          <c:y val="0.233465"/>
          <c:w val="0.488404"/>
          <c:h val="0.44988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260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Муниципальные</a:t>
                    </a:r>
                    <a:r>
                      <a:rPr lang="ru-RU"/>
                      <a:t> 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учреждения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(19 ед.)</a:t>
                    </a:r>
                    <a:endParaRPr lang="ru-RU"/>
                  </a:p>
                </c:rich>
              </c:tx>
            </c:dLbl>
            <c:dLbl>
              <c:idx val="1"/>
              <c:dLblPos val="bestFit"/>
              <c:layout>
                <c:manualLayout>
                  <c:x val="-0.042895"/>
                  <c:y val="0.04102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органы</a:t>
                    </a:r>
                    <a:r>
                      <a:rPr lang="ru-RU"/>
                      <a:t> местного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самоуправления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(4 ед.)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ru-RU"/>
                  </a:p>
                </c:rich>
              </c:tx>
            </c:dLbl>
            <c:dLbl>
              <c:idx val="2"/>
              <c:dLblPos val="bestFit"/>
              <c:layout>
                <c:manualLayout>
                  <c:x val="-0.026687"/>
                  <c:y val="-0.135348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>
                <c:rich>
                  <a:bodyPr/>
                  <a:lstStyle/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прочии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предприятия</a:t>
                    </a:r>
                    <a:endParaRPr/>
                  </a:p>
                  <a:p>
                    <a:pPr>
                      <a:defRPr sz="800" b="1" i="0" u="none" strike="noStrike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 (1 ед.)</a:t>
                    </a:r>
                    <a:endParaRPr lang="ru-RU"/>
                  </a:p>
                </c:rich>
              </c:tx>
            </c:dLbl>
            <c:dLbl>
              <c:idx val="3"/>
              <c:dLblPos val="bestFit"/>
              <c:layout>
                <c:manualLayout>
                  <c:x val="0.043768"/>
                  <c:y val="-0.071796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</c:dLbl>
            <c:dLbl>
              <c:idx val="4"/>
              <c:dLblPos val="bestFit"/>
              <c:layout>
                <c:manualLayout>
                  <c:x val="-0.012622"/>
                  <c:y val="0.048696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</c:dLbl>
            <c:dLbl>
              <c:idx val="5"/>
              <c:dLblPos val="bestFit"/>
              <c:layout>
                <c:manualLayout>
                  <c:x val="-0.031367"/>
                  <c:y val="0.027771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</c:dLbl>
            <c:dLblPos val="outEnd"/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strRef>
              <c:f>Sheet1!$A$2:$A$8</c:f>
              <c:strCache>
                <c:ptCount val="3"/>
                <c:pt idx="0">
                  <c:v>муниципальные учреждения ( 16 ед.)</c:v>
                </c:pt>
                <c:pt idx="1">
                  <c:v>органы местного самоуправления (4 ед.)</c:v>
                </c:pt>
                <c:pt idx="2">
                  <c:v>муниципальные предприятия (1 ед.)</c:v>
                </c:pt>
              </c:strCache>
            </c:strRef>
          </c:cat>
          <c:val>
            <c:numRef>
              <c:f>Sheet1!$B$2:$B$8</c:f>
              <c:numCache>
                <c:formatCode>\О\с\н\о\в\н\о\й</c:formatCode>
                <c:ptCount val="7"/>
                <c:pt idx="0">
                  <c:v>84</c:v>
                </c:pt>
                <c:pt idx="1">
                  <c:v>16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1260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strRef>
              <c:f>Sheet1!$A$2:$A$8</c:f>
              <c:strCache>
                <c:ptCount val="3"/>
                <c:pt idx="0">
                  <c:v>муниципальные учреждения ( 16 ед.)</c:v>
                </c:pt>
                <c:pt idx="1">
                  <c:v>органы местного самоуправления (4 ед.)</c:v>
                </c:pt>
                <c:pt idx="2">
                  <c:v>муниципальные предприятия (1 ед.)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FFFFCC"/>
            </a:solidFill>
            <a:ln w="1260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strRef>
              <c:f>Sheet1!$A$2:$A$8</c:f>
              <c:strCache>
                <c:ptCount val="3"/>
                <c:pt idx="0">
                  <c:v>муниципальные учреждения ( 16 ед.)</c:v>
                </c:pt>
                <c:pt idx="1">
                  <c:v>органы местного самоуправления (4 ед.)</c:v>
                </c:pt>
                <c:pt idx="2">
                  <c:v>муниципальные предприятия (1 ед.)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CCFFFF"/>
            </a:solidFill>
            <a:ln w="1260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rgbClr val="FF8080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rgbClr val="0066CC"/>
              </a:solidFill>
              <a:ln w="12609">
                <a:solidFill>
                  <a:srgbClr val="000000"/>
                </a:solidFill>
                <a:prstDash val="solid"/>
              </a:ln>
            </c:spPr>
          </c:dPt>
          <c:dLbls>
            <c:showBubbleSize val="0"/>
            <c:showCatName val="1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</c:dLbls>
          <c:cat>
            <c:strRef>
              <c:f>Sheet1!$A$2:$A$8</c:f>
              <c:strCache>
                <c:ptCount val="3"/>
                <c:pt idx="0">
                  <c:v>муниципальные учреждения ( 16 ед.)</c:v>
                </c:pt>
                <c:pt idx="1">
                  <c:v>органы местного самоуправления (4 ед.)</c:v>
                </c:pt>
                <c:pt idx="2">
                  <c:v>муниципальные предприятия (1 ед.)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 w="25405">
          <a:noFill/>
        </a:ln>
      </c:spPr>
    </c:plotArea>
    <c:plotVisOnly val="1"/>
    <c:dispBlanksAs val="zero"/>
    <c:showDLblsOverMax val="0"/>
  </c:chart>
  <c:spPr bwMode="auto">
    <a:prstGeom prst="rect">
      <a:avLst/>
    </a:prstGeom>
    <a:solidFill>
      <a:srgbClr val="FFFFCC"/>
    </a:solidFill>
    <a:ln>
      <a:noFill/>
    </a:ln>
  </c:spPr>
  <c:txPr>
    <a:bodyPr/>
    <a:lstStyle/>
    <a:p>
      <a:pPr>
        <a:defRPr sz="950" b="0" i="0" u="none" strike="noStrike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поступлений доходов в бюджет города Орска в 2024 году </a:t>
            </a:r>
            <a:endParaRPr/>
          </a:p>
        </c:rich>
      </c:tx>
      <c:layout>
        <c:manualLayout>
          <c:xMode val="edge"/>
          <c:yMode val="edge"/>
          <c:x val="0.128992"/>
          <c:y val="0.071705"/>
        </c:manualLayout>
      </c:layout>
      <c:overlay val="0"/>
      <c:spPr bwMode="auto">
        <a:prstGeom prst="rect">
          <a:avLst/>
        </a:prstGeom>
        <a:noFill/>
        <a:ln w="31434">
          <a:noFill/>
        </a:ln>
      </c:spPr>
    </c:title>
    <c:autoTitleDeleted val="0"/>
    <c:view3D>
      <c:rotX val="15"/>
      <c:rotY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8620"/>
          <c:y val="0.406271"/>
          <c:w val="0.511521"/>
          <c:h val="0.35967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15717">
              <a:solidFill>
                <a:srgbClr val="000000"/>
              </a:solidFill>
              <a:prstDash val="solid"/>
            </a:ln>
          </c:spPr>
          <c:explosion val="45"/>
          <c:dPt>
            <c:idx val="0"/>
            <c:bubble3D val="0"/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LblPos val="bestFit"/>
              <c:layout>
                <c:manualLayout>
                  <c:x val="0.252198"/>
                  <c:y val="0.02357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31434">
                  <a:noFill/>
                </a:ln>
              </c:spPr>
              <c:tx>
                <c:rich>
                  <a:bodyPr/>
                  <a:lstStyle/>
                  <a:p>
                    <a:pPr>
                      <a:defRPr sz="1250" b="0" i="0" u="none" strike="noStrike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Налоговые поступления</a:t>
                    </a:r>
                    <a:br>
                      <a:rPr lang="ru-RU"/>
                    </a:br>
                    <a:r>
                      <a:rPr lang="ru-RU"/>
                      <a:t>27,3%</a:t>
                    </a:r>
                    <a:endParaRPr/>
                  </a:p>
                </c:rich>
              </c:tx>
            </c:dLbl>
            <c:dLbl>
              <c:idx val="1"/>
              <c:dLblPos val="bestFit"/>
              <c:layout>
                <c:manualLayout>
                  <c:x val="-0.071430"/>
                  <c:y val="0.07893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31434">
                  <a:noFill/>
                </a:ln>
              </c:spPr>
              <c:tx>
                <c:rich>
                  <a:bodyPr/>
                  <a:lstStyle/>
                  <a:p>
                    <a:pPr>
                      <a:defRPr sz="1250" b="0" i="0" u="none" strike="noStrike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Неналоговые поступления</a:t>
                    </a:r>
                    <a:br>
                      <a:rPr lang="ru-RU"/>
                    </a:br>
                    <a:r>
                      <a:rPr lang="ru-RU"/>
                      <a:t>2,6%</a:t>
                    </a:r>
                    <a:endParaRPr/>
                  </a:p>
                </c:rich>
              </c:tx>
            </c:dLbl>
            <c:dLbl>
              <c:idx val="2"/>
              <c:dLblPos val="bestFit"/>
              <c:layout>
                <c:manualLayout>
                  <c:x val="0.240537"/>
                  <c:y val="-0.03284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 w="31434">
                  <a:noFill/>
                </a:ln>
              </c:spPr>
              <c:tx>
                <c:rich>
                  <a:bodyPr/>
                  <a:lstStyle/>
                  <a:p>
                    <a:pPr>
                      <a:defRPr sz="1250" b="0" i="0" u="none" strike="noStrike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Безвозмездные поступления</a:t>
                    </a:r>
                    <a:br>
                      <a:rPr lang="ru-RU"/>
                    </a:br>
                    <a:r>
                      <a:rPr lang="ru-RU"/>
                      <a:t>70,1%</a:t>
                    </a:r>
                    <a:endParaRPr/>
                  </a:p>
                </c:rich>
              </c:tx>
            </c:dLbl>
            <c:dLblPos val="bestFit"/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 w="314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50" b="0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Sheet1!$B$1:$D$1</c:f>
              <c:strCache>
                <c:ptCount val="3"/>
                <c:pt idx="0">
                  <c:v>Налоговые поступления</c:v>
                </c:pt>
                <c:pt idx="1">
                  <c:v>Неналоговые поступления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Sheet1!$B$2:$D$2</c:f>
              <c:numCache>
                <c:formatCode>#,#00%</c:formatCode>
                <c:ptCount val="3"/>
                <c:pt idx="0">
                  <c:v>0.381</c:v>
                </c:pt>
                <c:pt idx="1">
                  <c:v>0.081</c:v>
                </c:pt>
                <c:pt idx="2">
                  <c:v>0.536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15717">
              <a:solidFill>
                <a:srgbClr val="000000"/>
              </a:solidFill>
              <a:prstDash val="solid"/>
            </a:ln>
          </c:spPr>
          <c:explosion val="4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Налоговые поступления</c:v>
                </c:pt>
                <c:pt idx="1">
                  <c:v>Неналоговые поступления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FFFFCC"/>
            </a:solidFill>
            <a:ln w="15717">
              <a:solidFill>
                <a:srgbClr val="000000"/>
              </a:solidFill>
              <a:prstDash val="solid"/>
            </a:ln>
          </c:spPr>
          <c:explosion val="4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Налоговые поступления</c:v>
                </c:pt>
                <c:pt idx="1">
                  <c:v>Неналоговые поступления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Sheet1!$A$23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CCFFFF"/>
            </a:solidFill>
            <a:ln w="15717">
              <a:solidFill>
                <a:srgbClr val="000000"/>
              </a:solidFill>
              <a:prstDash val="solid"/>
            </a:ln>
          </c:spPr>
          <c:explosion val="45"/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1571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Налоговые поступления</c:v>
                </c:pt>
                <c:pt idx="1">
                  <c:v>Неналоговые поступления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Sheet1!$B$23:$D$23</c:f>
              <c:numCache>
                <c:formatCode>\О\с\н\о\в\н\о\й</c:formatCode>
                <c:ptCount val="3"/>
                <c:pt idx="0">
                  <c:v>30</c:v>
                </c:pt>
                <c:pt idx="1">
                  <c:v>5.5</c:v>
                </c:pt>
                <c:pt idx="2">
                  <c:v>68.2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 w="25386">
          <a:noFill/>
        </a:ln>
      </c:spPr>
    </c:plotArea>
    <c:plotVisOnly val="1"/>
    <c:dispBlanksAs val="zero"/>
    <c:showDLblsOverMax val="0"/>
  </c:chart>
  <c:spPr bwMode="auto">
    <a:prstGeom prst="rect">
      <a:avLst/>
    </a:prstGeom>
    <a:solidFill>
      <a:srgbClr val="FFFFFF"/>
    </a:solidFill>
    <a:ln>
      <a:noFill/>
    </a:ln>
  </c:spPr>
  <c:txPr>
    <a:bodyPr/>
    <a:lstStyle/>
    <a:p>
      <a:pPr>
        <a:defRPr sz="1500" b="1" i="0" u="none" strike="noStrike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word/theme/themeOverride2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word/theme/themeOverride3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BF53-5462-4909-8C31-FFEFCD1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revision>43</cp:revision>
  <dcterms:created xsi:type="dcterms:W3CDTF">2026-01-23T05:44:00Z</dcterms:created>
  <dcterms:modified xsi:type="dcterms:W3CDTF">2026-04-17T04:21:33Z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